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396 AktG — Voraussetzungen</w:t>
      </w:r>
    </w:p>
    <w:p>
      <w:r>
        <w:rPr>
          <w:color w:val="555555"/>
          <w:sz w:val="18"/>
        </w:rPr>
        <w:t xml:space="preserve">Aktiengesetz</w:t>
      </w:r>
    </w:p>
    <w:p>
      <w:r>
        <w:rPr>
          <w:color w:val="555555"/>
          <w:sz w:val="18"/>
        </w:rPr>
        <w:t xml:space="preserve">Stand: 10.06.2019 (konsolidierte Textfassung, kein amtliches Inkrafttretensdatum)</w:t>
      </w:r>
    </w:p>
    <w:p>
      <w:r>
        <w:t xml:space="preserve">(1) Gefährdet eine Aktiengesellschaft oder Kommanditgesellschaft auf Aktien durch gesetzwidriges Verhalten ihrer Verwaltungsträger das Gemeinwohl und sorgen der Aufsichtsrat und die Hauptversammlung nicht für eine Abberufung der Verwaltungsträger, so kann die Gesellschaft auf Antrag der zuständigen obersten Landesbehörde des Landes, in dem die Gesellschaft ihren Sitz hat, durch Urteil aufgelöst werden. Ausschließlich zuständig für die Klage ist das Landgericht, in dessen Bezirk die Gesellschaft ihren Sitz hat.</w:t>
      </w:r>
    </w:p>
    <w:p>
      <w:r>
        <w:t xml:space="preserve">(2) Nach der Auflösung findet die Abwicklung nach den §§ 264 bis 273 statt. Den Antrag auf Abberufung oder Bestellung der Abwickler aus einem wichtigen Grund kann auch die in Absatz 1 Satz 1 bestimmte Behörde stellen.</w:t>
      </w:r>
    </w:p>
    <w:p>
      <w:r>
        <w:rPr>
          <w:color w:val="555555"/>
          <w:sz w:val="17"/>
        </w:rPr>
        <w:t xml:space="preserve">Zitiervorschlag: § 396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https://recht.nulegal.eu/gesetze/AktG/396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