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AktG — Prüfung durch das Gericht</w:t>
      </w:r>
    </w:p>
    <w:p>
      <w:r>
        <w:rPr>
          <w:color w:val="555555"/>
          <w:sz w:val="18"/>
        </w:rPr>
        <w:t xml:space="preserve">Aktiengesetz</w:t>
      </w:r>
    </w:p>
    <w:p>
      <w:r>
        <w:rPr>
          <w:color w:val="555555"/>
          <w:sz w:val="18"/>
        </w:rPr>
        <w:t xml:space="preserve">Stand: 10.06.2019 (konsolidierte Textfassung, kein amtliches Inkrafttretensdatum)</w:t>
      </w:r>
    </w:p>
    <w:p>
      <w:r>
        <w:t xml:space="preserve">(1) Das Gericht hat zu prüfen, ob die Gesellschaft ordnungsgemäß errichtet und angemeldet ist. Ist dies nicht der Fall, so hat es die Eintragung abzulehnen.</w:t>
      </w:r>
    </w:p>
    <w:p>
      <w:r>
        <w:t xml:space="preserve">(2) Das Gericht kann die Eintragung auch ablehnen, wenn die Gründungsprüfer erklären oder es offensichtlich ist, daß der Gründungsbericht oder der Prüfungsbericht der Mitglieder des Vorstands und des Aufsichtsrats unrichtig oder unvollständig ist oder den gesetzlichen Vorschriften nicht entspricht. Gleiches gilt, wenn die Gründungsprüfer erklären oder das Gericht der Auffassung ist, daß der Wert der Sacheinlagen oder Sachübernahmen nicht unwesentlich hinter dem geringsten Ausgabebetrag der dafür zu gewährenden Aktien oder dem Wert der dafür zu gewährenden Leistungen zurückbleibt.</w:t>
      </w:r>
    </w:p>
    <w:p>
      <w:r>
        <w:t xml:space="preserve">(3) Enthält die Anmeldung die Erklärung nach § 37a Abs. 1 Satz 1, hat das Gericht hinsichtlich der Werthaltigkeit der Sacheinlagen oder Sachübernahmen ausschließlich zu prüfen, ob die Voraussetzungen des § 37a erfüllt sind. Lediglich bei einer offenkundigen und erheblichen Überbewertung kann das Gericht die Eintragung ablehnen.</w:t>
      </w:r>
    </w:p>
    <w:p>
      <w:r>
        <w:t xml:space="preserve">(4) Wegen einer mangelhaften, fehlenden oder nichtigen Bestimmung der Satzung darf das Gericht die Eintragung nach Absatz 1 nur ablehnen, soweit diese Bestimmung, ihr Fehlen oder ihre Nichtigkeit</w:t>
      </w:r>
    </w:p>
    <w:p>
      <w:pPr>
        <w:ind w:left="420"/>
      </w:pPr>
      <w:r>
        <w:t xml:space="preserve">1. Tatsachen oder Rechtsverhältnisse betrifft, die nach § 23 Abs. 3 oder auf Grund anderer zwingender gesetzlicher Vorschriften in der Satzung bestimmt sein müssen oder die in das Handelsregister einzutragen oder von dem Gericht bekanntzumachen sind,</w:t>
      </w:r>
    </w:p>
    <w:p>
      <w:pPr>
        <w:ind w:left="420"/>
      </w:pPr>
      <w:r>
        <w:t xml:space="preserve">2. Vorschriften verletzt, die ausschließlich oder überwiegend zum Schutze der Gläubiger der Gesellschaft oder sonst im öffentlichen Interesse gegeben sind, oder</w:t>
      </w:r>
    </w:p>
    <w:p>
      <w:pPr>
        <w:ind w:left="420"/>
      </w:pPr>
      <w:r>
        <w:t xml:space="preserve">3. die Nichtigkeit der Satzung zur Folge hat.</w:t>
      </w:r>
    </w:p>
    <w:p>
      <w:r>
        <w:rPr>
          <w:color w:val="555555"/>
          <w:sz w:val="17"/>
        </w:rPr>
        <w:t xml:space="preserve">Zitiervorschlag: § 38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