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37a AktG — Anmeldung bei Sachgründung ohne externe Gründungsprüfung</w:t>
      </w:r>
    </w:p>
    <w:p>
      <w:r>
        <w:rPr>
          <w:color w:val="555555"/>
          <w:sz w:val="18"/>
        </w:rPr>
        <w:t xml:space="preserve">Aktiengesetz</w:t>
      </w:r>
    </w:p>
    <w:p>
      <w:r>
        <w:rPr>
          <w:color w:val="555555"/>
          <w:sz w:val="18"/>
        </w:rPr>
        <w:t xml:space="preserve">Stand: 10.06.2019 (konsolidierte Textfassung, kein amtliches Inkrafttretensdatum)</w:t>
      </w:r>
    </w:p>
    <w:p>
      <w:r>
        <w:t xml:space="preserve">(1) Wird nach § 33a von einer externen Gründungsprüfung abgesehen, ist dies in der Anmeldung zu erklären. Der Gegenstand jeder Sacheinlage oder Sachübernahme ist zu beschreiben. Die Anmeldung muss die Erklärung enthalten, dass der Wert der Sacheinlagen oder Sachübernahmen den geringsten Ausgabebetrag der dafür zu gewährenden Aktien oder den Wert der dafür zu gewährenden Leistungen erreicht. Der Wert, die Quelle der Bewertung sowie die angewandte Bewertungsmethode sind anzugeben.</w:t>
      </w:r>
    </w:p>
    <w:p>
      <w:r>
        <w:t xml:space="preserve">(2) In der Anmeldung haben die Anmeldenden außerdem zu versichern, dass ihnen außergewöhnliche Umstände, die den gewichteten Durchschnittspreis der einzubringenden Wertpapiere oder Geldmarktinstrumente im Sinne von § 33a Abs. 1 Nr. 1 während der letzten drei Monate vor dem Tag ihrer tatsächlichen Einbringung erheblich beeinflusst haben könnten, oder Umstände, die darauf hindeuten, dass der beizulegende Zeitwert der Vermögensgegenstände im Sinne von § 33a Abs. 1 Nr. 2 am Tag ihrer tatsächlichen Einbringung auf Grund neuer oder neu bekannt gewordener Umstände erheblich niedriger ist als der von dem Sachverständigen angenommene Wert, nicht bekannt geworden sind.</w:t>
      </w:r>
    </w:p>
    <w:p>
      <w:r>
        <w:t xml:space="preserve">(3) Der Anmeldung sind beizufügen:</w:t>
      </w:r>
    </w:p>
    <w:p>
      <w:pPr>
        <w:ind w:left="420"/>
      </w:pPr>
      <w:r>
        <w:t xml:space="preserve">1. Unterlagen über die Ermittlung des gewichteten Durchschnittspreises, zu dem die einzubringenden Wertpapiere oder Geldmarktinstrumente während der letzten drei Monate vor dem Tag ihrer tatsächlichen Einbringung auf einem organisierten Markt gehandelt worden sind,</w:t>
      </w:r>
    </w:p>
    <w:p>
      <w:pPr>
        <w:ind w:left="420"/>
      </w:pPr>
      <w:r>
        <w:t xml:space="preserve">2. jedes Sachverständigengutachten, auf das sich die Bewertung in den Fällen des § 33a Abs. 1 Nr. 2 stützt.</w:t>
      </w:r>
    </w:p>
    <w:p>
      <w:r>
        <w:rPr>
          <w:color w:val="555555"/>
          <w:sz w:val="17"/>
        </w:rPr>
        <w:t xml:space="preserve">Zitiervorschlag: § 37a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