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AktG — Leistung der Einlagen</w:t>
      </w:r>
    </w:p>
    <w:p>
      <w:r>
        <w:rPr>
          <w:color w:val="555555"/>
          <w:sz w:val="18"/>
        </w:rPr>
        <w:t xml:space="preserve">Aktiengesetz</w:t>
      </w:r>
    </w:p>
    <w:p>
      <w:r>
        <w:rPr>
          <w:color w:val="555555"/>
          <w:sz w:val="18"/>
        </w:rPr>
        <w:t xml:space="preserve">Stand: 10.06.2019 (konsolidierte Textfassung, kein amtliches Inkrafttretensdatum)</w:t>
      </w:r>
    </w:p>
    <w:p>
      <w:r>
        <w:t xml:space="preserve">(1) Bei Bareinlagen muß der eingeforderte Betrag (§ 36 Abs. 2) mindestens ein Viertel des geringsten Ausgabebetrags und bei Ausgabe der Aktien für einen höheren als diesen auch den Mehrbetrag umfassen.</w:t>
      </w:r>
    </w:p>
    <w:p>
      <w:r>
        <w:t xml:space="preserve">(2) Sacheinlagen sind vollständig zu leisten. Besteht die Sacheinlage in der Verpflichtung, einen Vermögensgegenstand auf die Gesellschaft zu übertragen, so muß diese Leistung innerhalb von fünf Jahren nach der Eintragung der Gesellschaft in das Handelsregister zu bewirken sein. Der Wert muß dem geringsten Ausgabebetrag und bei Ausgabe der Aktien für einen höheren als diesen auch dem Mehrbetrag entsprechen.</w:t>
      </w:r>
    </w:p>
    <w:p>
      <w:r>
        <w:rPr>
          <w:color w:val="555555"/>
          <w:sz w:val="17"/>
        </w:rPr>
        <w:t xml:space="preserve">Zitiervorschlag: § 36a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