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AktG — Umfang der Gründungsprüfung</w:t>
      </w:r>
    </w:p>
    <w:p>
      <w:r>
        <w:rPr>
          <w:color w:val="555555"/>
          <w:sz w:val="18"/>
        </w:rPr>
        <w:t xml:space="preserve">Aktiengesetz</w:t>
      </w:r>
    </w:p>
    <w:p>
      <w:r>
        <w:rPr>
          <w:color w:val="555555"/>
          <w:sz w:val="18"/>
        </w:rPr>
        <w:t xml:space="preserve">Stand: 10.06.2019 (konsolidierte Textfassung, kein amtliches Inkrafttretensdatum)</w:t>
      </w:r>
    </w:p>
    <w:p>
      <w:r>
        <w:t xml:space="preserve">(1) Die Prüfung durch die Mitglieder des Vorstands und des Aufsichtsrats sowie die Prüfung durch die Gründungsprüfer haben sich namentlich darauf zu erstrecken,</w:t>
      </w:r>
    </w:p>
    <w:p>
      <w:pPr>
        <w:ind w:left="420"/>
      </w:pPr>
      <w:r>
        <w:t xml:space="preserve">1. ob die Angaben der Gründer über die Übernahme der Aktien, über die Einlagen auf das Grundkapital und über die Festsetzungen nach §§ 26 und 27 richtig und vollständig sind;</w:t>
      </w:r>
    </w:p>
    <w:p>
      <w:pPr>
        <w:ind w:left="420"/>
      </w:pPr>
      <w:r>
        <w:t xml:space="preserve">2. ob der Wert der Sacheinlagen oder Sachübernahmen den geringsten Ausgabebetrag der dafür zu gewährenden Aktien oder den Wert der dafür zu gewährenden Leistungen erreicht.</w:t>
      </w:r>
    </w:p>
    <w:p>
      <w:r>
        <w:t xml:space="preserve">(2) Über jede Prüfung ist unter Darlegung dieser Umstände schriftlich zu berichten. In dem Bericht ist der Gegenstand jeder Sacheinlage oder Sachübernahme zu beschreiben sowie anzugeben, welche Bewertungsmethoden bei der Ermittlung des Wertes angewandt worden sind. In dem Prüfungsbericht der Mitglieder des Vorstands und des Aufsichtsrats kann davon sowie von Ausführungen zu Absatz 1 Nr. 2 abgesehen werden, soweit nach § 33a von einer externen Gründungsprüfung abgesehen wird.</w:t>
      </w:r>
    </w:p>
    <w:p>
      <w:r>
        <w:t xml:space="preserve">(3) Je ein Stück des Berichts der Gründungsprüfer ist dem Gericht und dem Vorstand einzureichen. Jedermann kann den Bericht bei dem Gericht einsehen.</w:t>
      </w:r>
    </w:p>
    <w:p>
      <w:r>
        <w:rPr>
          <w:color w:val="555555"/>
          <w:sz w:val="17"/>
        </w:rPr>
        <w:t xml:space="preserve">Zitiervorschlag: § 34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