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33a AktG — Sachgründung ohne externe Gründungsprüfung</w:t>
      </w:r>
    </w:p>
    <w:p>
      <w:r>
        <w:rPr>
          <w:color w:val="555555"/>
          <w:sz w:val="18"/>
        </w:rPr>
        <w:t xml:space="preserve">Aktiengesetz</w:t>
      </w:r>
    </w:p>
    <w:p>
      <w:r>
        <w:rPr>
          <w:color w:val="555555"/>
          <w:sz w:val="18"/>
        </w:rPr>
        <w:t xml:space="preserve">Stand: 10.06.2019 (konsolidierte Textfassung, kein amtliches Inkrafttretensdatum)</w:t>
      </w:r>
    </w:p>
    <w:p>
      <w:r>
        <w:t xml:space="preserve">(1) Von einer Prüfung durch Gründungsprüfer kann bei einer Gründung mit Sacheinlagen oder Sachübernahmen (§ 33 Abs. 2 Nr. 4) abgesehen werden, soweit eingebracht werden sollen:</w:t>
      </w:r>
    </w:p>
    <w:p>
      <w:pPr>
        <w:ind w:left="420"/>
      </w:pPr>
      <w:r>
        <w:t xml:space="preserve">1. übertragbare Wertpapiere oder Geldmarktinstrumente im Sinne des § 2 Absatz 1 und 2 des Wertpapierhandelsgesetzes, wenn sie mit dem gewichteten Durchschnittspreis bewertet werden, zu dem sie während der letzten drei Monate vor dem Tag ihrer tatsächlichen Einbringung auf einem oder mehreren organisierten Märkten im Sinne von § 2 Absatz 11 des Wertpapierhandelsgesetzes gehandelt worden sind,</w:t>
      </w:r>
    </w:p>
    <w:p>
      <w:pPr>
        <w:ind w:left="420"/>
      </w:pPr>
      <w:r>
        <w:t xml:space="preserve">2. andere als die in Nummer 1 genannten Vermögensgegenstände, wenn eine Bewertung zu Grunde gelegt wird, die ein unabhängiger, ausreichend vorgebildeter und erfahrener Sachverständiger nach den allgemein anerkannten Bewertungsgrundsätzen mit dem beizulegenden Zeitwert ermittelt hat und wenn der Bewertungsstichtag nicht mehr als sechs Monate vor dem Tag der tatsächlichen Einbringung liegt.</w:t>
      </w:r>
    </w:p>
    <w:p>
      <w:r>
        <w:t xml:space="preserve">(2) Absatz 1 ist nicht anzuwenden, wenn der gewichtete Durchschnittspreis der Wertpapiere oder Geldmarktinstrumente (Absatz 1 Nr. 1) durch außergewöhnliche Umstände erheblich beeinflusst worden ist oder wenn anzunehmen ist, dass der beizulegende Zeitwert der anderen Vermögensgegenstände (Absatz 1 Nr. 2) am Tag ihrer tatsächlichen Einbringung auf Grund neuer oder neu bekannt gewordener Umstände erheblich niedriger ist als der von dem Sachverständigen angenommene Wert.</w:t>
      </w:r>
    </w:p>
    <w:p>
      <w:r>
        <w:rPr>
          <w:color w:val="555555"/>
          <w:sz w:val="17"/>
        </w:rPr>
        <w:t xml:space="preserve">Zitiervorschlag: § 33a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https://recht.nulegal.eu/gesetze/AktG/33a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