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328 AktG — Beschränkung der Rechte</w:t>
      </w:r>
    </w:p>
    <w:p>
      <w:r>
        <w:rPr>
          <w:color w:val="555555"/>
          <w:sz w:val="18"/>
        </w:rPr>
        <w:t xml:space="preserve">Aktiengesetz</w:t>
      </w:r>
    </w:p>
    <w:p>
      <w:r>
        <w:rPr>
          <w:color w:val="555555"/>
          <w:sz w:val="18"/>
        </w:rPr>
        <w:t xml:space="preserve">Stand: 01.01.2025 (konsolidierte Textfassung, kein amtliches Inkrafttretensdatum)</w:t>
      </w:r>
    </w:p>
    <w:p>
      <w:r>
        <w:t xml:space="preserve">(1) Sind eine Aktiengesellschaft oder Kommanditgesellschaft auf Aktien und ein anderes Unternehmen wechselseitig beteiligte Unternehmen, so können, sobald dem einen Unternehmen das Bestehen der wechselseitigen Beteiligung bekannt geworden ist oder ihm das andere Unternehmen eine Mitteilung nach § 20 Abs. 3 oder § 21 Abs. 1 gemacht hat, Rechte aus den Anteilen, die ihm an dem anderen Unternehmen gehören, nur für höchstens den vierten Teil aller Anteile des anderen Unternehmens ausgeübt werden. Dies gilt nicht für das Recht auf neue Aktien bei einer Kapitalerhöhung aus Gesellschaftsmitteln. § 16 Abs. 4 ist anzuwenden.</w:t>
      </w:r>
    </w:p>
    <w:p>
      <w:r>
        <w:t xml:space="preserve">(2) Die Beschränkung des Absatzes 1 gilt nicht, wenn das Unternehmen seinerseits dem anderen Unternehmen eine Mitteilung nach § 20 Abs. 3 oder § 21 Abs. 1 gemacht hatte, bevor es von dem anderen Unternehmen eine solche Mitteilung erhalten hat und bevor ihm das Bestehen der wechselseitigen Beteiligung bekannt geworden ist.</w:t>
      </w:r>
    </w:p>
    <w:p>
      <w:r>
        <w:t xml:space="preserve">(3) In der Hauptversammlung einer börsennotierten Gesellschaft kann ein Unternehmen, dem die wechselseitige Beteiligung gemäß Absatz 1 bekannt ist, sein Stimmrecht zur Wahl von Mitgliedern in den Aufsichtsrat nicht ausüben.</w:t>
      </w:r>
    </w:p>
    <w:p>
      <w:r>
        <w:t xml:space="preserve">(4) Sind eine Aktiengesellschaft oder Kommanditgesellschaft auf Aktien und ein anderes Unternehmen wechselseitig beteiligte Unternehmen, so haben die Unternehmen einander unverzüglich die Höhe ihrer Beteiligung und jede Änderung in Textform mitzuteilen.</w:t>
      </w:r>
    </w:p>
    <w:p>
      <w:r>
        <w:rPr>
          <w:color w:val="555555"/>
          <w:sz w:val="17"/>
        </w:rPr>
        <w:t xml:space="preserve">Zitiervorschlag: § 328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