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327e AktG — Eintragung des Übertragungsbeschlusses</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hat den Übertragungsbeschluss zur Eintragung in das Handelsregister anzumelden. Der Anmeldung sind die Niederschrift des Übertragungsbeschlusses und seine Anlagen in Ausfertigung oder öffentlich beglaubigter Abschrift beizufügen.</w:t>
      </w:r>
    </w:p>
    <w:p>
      <w:r>
        <w:t xml:space="preserve">(2) § 319 Abs. 5 und 6 gilt sinngemäß.</w:t>
      </w:r>
    </w:p>
    <w:p>
      <w:r>
        <w:t xml:space="preserve">(3) Mit der Eintragung des Übertragungsbeschlusses in das Handelsregister gehen alle Aktien der Minderheitsaktionäre auf den Hauptaktionär über. Sind über diese Aktien Aktienurkunden ausgegeben, so verbriefen sie bis zu ihrer Aushändigung an den Hauptaktionär nur den Anspruch auf Barabfindung.</w:t>
      </w:r>
    </w:p>
    <w:p>
      <w:r>
        <w:rPr>
          <w:color w:val="555555"/>
          <w:sz w:val="17"/>
        </w:rPr>
        <w:t xml:space="preserve">Zitiervorschlag: § 327e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