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327 AktG — Ende der Eingliederung</w:t>
      </w:r>
    </w:p>
    <w:p>
      <w:r>
        <w:rPr>
          <w:color w:val="555555"/>
          <w:sz w:val="18"/>
        </w:rPr>
        <w:t xml:space="preserve">Aktiengesetz</w:t>
      </w:r>
    </w:p>
    <w:p>
      <w:r>
        <w:rPr>
          <w:color w:val="555555"/>
          <w:sz w:val="18"/>
        </w:rPr>
        <w:t xml:space="preserve">Stand: 01.01.2025 (konsolidierte Textfassung, kein amtliches Inkrafttretensdatum)</w:t>
      </w:r>
    </w:p>
    <w:p>
      <w:r>
        <w:t xml:space="preserve">(1) Die Eingliederung endet</w:t>
      </w:r>
    </w:p>
    <w:p>
      <w:pPr>
        <w:ind w:left="420"/>
      </w:pPr>
      <w:r>
        <w:t xml:space="preserve">1. durch Beschluß der Hauptversammlung der eingegliederten Gesellschaft,</w:t>
      </w:r>
    </w:p>
    <w:p>
      <w:pPr>
        <w:ind w:left="420"/>
      </w:pPr>
      <w:r>
        <w:t xml:space="preserve">2. wenn die Hauptgesellschaft nicht mehr eine Aktiengesellschaft mit Sitz im Inland ist,</w:t>
      </w:r>
    </w:p>
    <w:p>
      <w:pPr>
        <w:ind w:left="420"/>
      </w:pPr>
      <w:r>
        <w:t xml:space="preserve">3. wenn sich nicht mehr alle Aktien der eingegliederten Gesellschaft in der Hand der Hauptgesellschaft befinden,</w:t>
      </w:r>
    </w:p>
    <w:p>
      <w:pPr>
        <w:ind w:left="420"/>
      </w:pPr>
      <w:r>
        <w:t xml:space="preserve">4. durch Auflösung der Hauptgesellschaft.</w:t>
      </w:r>
    </w:p>
    <w:p>
      <w:r>
        <w:t xml:space="preserve">(2) Befinden sich nicht mehr alle Aktien der eingegliederten Gesellschaft in der Hand der Hauptgesellschaft, so hat die Hauptgesellschaft dies der eingegliederten Gesellschaft unverzüglich in Textform mitzuteilen.</w:t>
      </w:r>
    </w:p>
    <w:p>
      <w:r>
        <w:t xml:space="preserve">(3) Der Vorstand der bisher eingegliederten Gesellschaft hat das Ende der Eingliederung, seinen Grund und seinen Zeitpunkt unverzüglich zur Eintragung in das Handelsregister des Sitzes der Gesellschaft anzumelden.</w:t>
      </w:r>
    </w:p>
    <w:p>
      <w:r>
        <w:t xml:space="preserve">(4) Endet die Eingliederung, so haftet die frühere Hauptgesellschaft für die bis dahin begründeten Verbindlichkeiten der bisher eingegliederten Gesellschaft, wenn sie vor Ablauf von fünf Jahren nach dem Ende der Eingliederung fällig und daraus Ansprüche gegen die frühere Hauptgesellschaft in einer in § 197 Abs. 1 Nr. 3 bis 5 des Bürgerlichen Gesetzbuchs bezeichneten Art festgestellt sind oder eine gerichtliche oder behördliche Vollstreckungshandlung vorgenommen oder beantragt wird; bei öffentlich-rechtlichen Verbindlichkeiten genügt der Erlass eines Verwaltungsakts. Die Frist beginnt mit dem Tag, an dem die Eintragung des Endes der Eingliederung in das Handelsregister nach § 10 des Handelsgesetzbuchs bekannt gemacht worden ist. Die für die Verjährung geltenden §§ 204, 206, 210, 211 und 212 Abs. 2 und 3 des Bürgerlichen Gesetzbuchs sind entsprechend anzuwenden. Einer Feststellung in einer in § 197 Abs. 1 Nr. 3 bis 5 des Bürgerlichen Gesetzbuchs bezeichneten Art bedarf es nicht, soweit die frühere Hauptgesellschaft den Anspruch schriftlich anerkannt hat.</w:t>
      </w:r>
    </w:p>
    <w:p>
      <w:r>
        <w:rPr>
          <w:color w:val="555555"/>
          <w:sz w:val="17"/>
        </w:rPr>
        <w:t xml:space="preserve">Zitiervorschlag: § 327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