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326 AktG — Auskunftsrecht der Aktionäre der Hauptgesellschaft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Jedem Aktionär der Hauptgesellschaft ist über Angelegenheiten der eingegliederten Gesellschaft ebenso Auskunft zu erteilen wie über Angelegenheiten der Hauptgesellschaft.</w:t>
      </w:r>
    </w:p>
    <w:p>
      <w:r>
        <w:rPr>
          <w:color w:val="555555"/>
          <w:sz w:val="17"/>
        </w:rPr>
        <w:t xml:space="preserve">Zitiervorschlag: § 326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