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323 AktG — Leitungsmacht der Hauptgesellschaft und Verantwortlichkeit der Vorstandsmitglieder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Hauptgesellschaft ist berechtigt, dem Vorstand der eingegliederten Gesellschaft hinsichtlich der Leitung der Gesellschaft Weisungen zu erteilen. § 308 Abs. 2 Satz 1, Abs. 3, §§ 309, 310 gelten sinngemäß. §§ 311 bis 318 sind nicht anzuwenden.</w:t>
      </w:r>
    </w:p>
    <w:p>
      <w:r>
        <w:t xml:space="preserve">(2) Leistungen der eingegliederten Gesellschaft an die Hauptgesellschaft gelten nicht als Verstoß gegen die §§ 57, 58 und 60.</w:t>
      </w:r>
    </w:p>
    <w:p>
      <w:r>
        <w:rPr>
          <w:color w:val="555555"/>
          <w:sz w:val="17"/>
        </w:rPr>
        <w:t xml:space="preserve">Zitiervorschlag: § 323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