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321 AktG — Gläubigerschutz</w:t>
      </w:r>
    </w:p>
    <w:p>
      <w:r>
        <w:rPr>
          <w:color w:val="555555"/>
          <w:sz w:val="18"/>
        </w:rPr>
        <w:t xml:space="preserve">Aktiengesetz</w:t>
      </w:r>
    </w:p>
    <w:p>
      <w:r>
        <w:rPr>
          <w:color w:val="555555"/>
          <w:sz w:val="18"/>
        </w:rPr>
        <w:t xml:space="preserve">Stand: 01.08.2022 (konsolidierte Textfassung, kein amtliches Inkrafttretensdatum)</w:t>
      </w:r>
    </w:p>
    <w:p>
      <w:r>
        <w:t xml:space="preserve">(1) Den Gläubigern der eingegliederten Gesellschaft, deren Forderungen begründet worden sind, bevor die Eintragung der Eingliederung in das Handelsregister bekanntgemacht worden ist, ist, wenn sie sich binnen sechs Monaten nach der Bekanntmachung zu diesem Zweck melden, Sicherheit zu leisten, soweit sie nicht Befriedigung verlangen können. Die Gläubiger sind in einer Bekanntmachung zu der Eintragung auf dieses Recht hinzuweisen.</w:t>
      </w:r>
    </w:p>
    <w:p>
      <w:r>
        <w:t xml:space="preserve">(2) Das Recht, Sicherheitsleistung zu verlangen, steht Gläubigern nicht zu, die im Falle des Insolvenzverfahrens ein Recht auf vorzugsweise Befriedigung aus einer Deckungsmasse haben, die nach gesetzlicher Vorschrift zu ihrem Schutz errichtet und staatlich überwacht ist.</w:t>
      </w:r>
    </w:p>
    <w:p>
      <w:r>
        <w:rPr>
          <w:color w:val="555555"/>
          <w:sz w:val="17"/>
        </w:rPr>
        <w:t xml:space="preserve">Zitiervorschlag: § 321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