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320b AktG — Abfindung der ausgeschiedenen Aktionäre</w:t>
      </w:r>
    </w:p>
    <w:p>
      <w:r>
        <w:rPr>
          <w:color w:val="555555"/>
          <w:sz w:val="18"/>
        </w:rPr>
        <w:t xml:space="preserve">Aktiengesetz</w:t>
      </w:r>
    </w:p>
    <w:p>
      <w:r>
        <w:rPr>
          <w:color w:val="555555"/>
          <w:sz w:val="18"/>
        </w:rPr>
        <w:t xml:space="preserve">Stand: 10.06.2019 (konsolidierte Textfassung, kein amtliches Inkrafttretensdatum)</w:t>
      </w:r>
    </w:p>
    <w:p>
      <w:r>
        <w:t xml:space="preserve">(1) Die ausgeschiedenen Aktionäre der eingegliederten Gesellschaft haben Anspruch auf angemessene Abfindung. Als Abfindung sind ihnen eigene Aktien der Hauptgesellschaft zu gewähren. Ist die Hauptgesellschaft eine abhängige Gesellschaft, so sind den ausgeschiedenen Aktionären nach deren Wahl eigene Aktien der Hauptgesellschaft oder eine angemessene Barabfindung zu gewähren. Werden als Abfindung Aktien der Hauptgesellschaft gewährt, so ist die Abfindung als angemessen anzusehen, wenn die Aktien in dem Verhältnis gewährt werden, in dem bei einer Verschmelzung auf eine Aktie der Gesellschaft Aktien der Hauptgesellschaft zu gewähren wären, wobei Spitzenbeträge durch bare Zuzahlungen ausgeglichen werden können. Die Barabfindung muß die Verhältnisse der Gesellschaft im Zeitpunkt der Beschlußfassung ihrer Hauptversammlung über die Eingliederung berücksichtigen. Die Barabfindung sowie bare Zuzahlungen sind von der Bekanntmachung der Eintragung der Eingliederung an mit jährlich 5 Prozentpunkten über dem jeweiligen Basiszinssatz nach § 247 des Bürgerlichen Gesetzbuchs zu verzinsen; die Geltendmachung eines weiteren Schadens ist nicht ausgeschlossen.</w:t>
      </w:r>
    </w:p>
    <w:p>
      <w:r>
        <w:t xml:space="preserve">(2) Die Anfechtung des Beschlusses, durch den die Hauptversammlung der eingegliederten Gesellschaft die Eingliederung der Gesellschaft beschlossen hat, kann nicht auf § 243 Abs. 2 oder darauf gestützt werden, daß die von der Hauptgesellschaft nach § 320 Abs. 2 Nr. 2 angebotene Abfindung nicht angemessen ist. Ist die angebotene Abfindung nicht angemessen, so hat das in § 2 des Spruchverfahrensgesetzes bestimmte Gericht auf Antrag die angemessene Abfindung zu bestimmen. Das gleiche gilt, wenn die Hauptgesellschaft eine Abfindung nicht oder nicht ordnungsgemäß angeboten hat und eine hierauf gestützte Anfechtungsklage innerhalb der Anfechtungsfrist nicht erhoben oder zurückgenommen oder rechtskräftig abgewiesen worden ist.</w:t>
      </w:r>
    </w:p>
    <w:p>
      <w:r>
        <w:t xml:space="preserve">(3) (weggefallen)</w:t>
      </w:r>
    </w:p>
    <w:p>
      <w:r>
        <w:rPr>
          <w:color w:val="555555"/>
          <w:sz w:val="17"/>
        </w:rPr>
        <w:t xml:space="preserve">Zitiervorschlag: § 320b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https://recht.nulegal.eu/gesetze/AktG/320b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