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320a AktG — Wirkungen der Eingliederung</w:t>
      </w:r>
    </w:p>
    <w:p>
      <w:r>
        <w:rPr>
          <w:color w:val="555555"/>
          <w:sz w:val="18"/>
        </w:rPr>
        <w:t xml:space="preserve">Aktiengesetz</w:t>
      </w:r>
    </w:p>
    <w:p>
      <w:r>
        <w:rPr>
          <w:color w:val="555555"/>
          <w:sz w:val="18"/>
        </w:rPr>
        <w:t xml:space="preserve">Stand: 10.06.2019 (konsolidierte Textfassung, kein amtliches Inkrafttretensdatum)</w:t>
      </w:r>
    </w:p>
    <w:p>
      <w:r>
        <w:t xml:space="preserve">Mit der Eintragung der Eingliederung in das Handelsregister gehen alle Aktien, die sich nicht in der Hand der Hauptgesellschaft befinden, auf diese über. Sind über diese Aktien Aktienurkunden ausgegeben, so verbriefen sie bis zu ihrer Aushändigung an die Hauptgesellschaft nur den Anspruch auf Abfindung.</w:t>
      </w:r>
    </w:p>
    <w:p>
      <w:r>
        <w:rPr>
          <w:color w:val="555555"/>
          <w:sz w:val="17"/>
        </w:rPr>
        <w:t xml:space="preserve">Zitiervorschlag: § 320a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