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316 AktG — Kein Bericht über Beziehungen zu verbundenen Unternehmen bei Gewinnabführungsvertrag</w:t>
      </w:r>
    </w:p>
    <w:p>
      <w:r>
        <w:rPr>
          <w:color w:val="555555"/>
          <w:sz w:val="18"/>
        </w:rPr>
        <w:t xml:space="preserve">Aktiengesetz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§§ 312 bis 315 gelten nicht, wenn zwischen der abhängigen Gesellschaft und dem herrschenden Unternehmen ein Gewinnabführungsvertrag besteht.</w:t>
      </w:r>
    </w:p>
    <w:p>
      <w:r>
        <w:rPr>
          <w:color w:val="555555"/>
          <w:sz w:val="17"/>
        </w:rPr>
        <w:t xml:space="preserve">Zitiervorschlag: § 316 AktG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https://recht.nulegal.eu/gesetze/AktG/316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