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311 AktG — Schranken des Einflusses</w:t>
      </w:r>
    </w:p>
    <w:p>
      <w:r>
        <w:rPr>
          <w:color w:val="555555"/>
          <w:sz w:val="18"/>
        </w:rPr>
        <w:t xml:space="preserve">Aktiengesetz</w:t>
      </w:r>
    </w:p>
    <w:p>
      <w:r>
        <w:rPr>
          <w:color w:val="555555"/>
          <w:sz w:val="18"/>
        </w:rPr>
        <w:t xml:space="preserve">Stand: 10.01.2020 (konsolidierte Textfassung, kein amtliches Inkrafttretensdatum)</w:t>
      </w:r>
    </w:p>
    <w:p>
      <w:r>
        <w:t xml:space="preserve">(1) Besteht kein Beherrschungsvertrag, so darf ein herrschendes Unternehmen seinen Einfluß nicht dazu benutzen, eine abhängige Aktiengesellschaft oder Kommanditgesellschaft auf Aktien zu veranlassen, ein für sie nachteiliges Rechtsgeschäft vorzunehmen oder Maßnahmen zu ihrem Nachteil zu treffen oder zu unterlassen, es sei denn, daß die Nachteile ausgeglichen werden.</w:t>
      </w:r>
    </w:p>
    <w:p>
      <w:r>
        <w:t xml:space="preserve">(2) Ist der Ausgleich nicht während des Geschäftsjahrs tatsächlich erfolgt, so muß spätestens am Ende des Geschäftsjahrs, in dem der abhängigen Gesellschaft der Nachteil zugefügt worden ist, bestimmt werden, wann und durch welche Vorteile der Nachteil ausgeglichen werden soll. Auf die zum Ausgleich bestimmten Vorteile ist der abhängigen Gesellschaft ein Rechtsanspruch zu gewähren.</w:t>
      </w:r>
    </w:p>
    <w:p>
      <w:r>
        <w:t xml:space="preserve">(3) Die §§ 111a bis 111c bleiben unberührt.</w:t>
      </w:r>
    </w:p>
    <w:p>
      <w:r>
        <w:rPr>
          <w:color w:val="555555"/>
          <w:sz w:val="17"/>
        </w:rPr>
        <w:t xml:space="preserve">Zitiervorschlag: § 311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