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310 AktG — Verantwortlichkeit der Verwaltungsmitglieder der Gesellschaft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des Vorstands und des Aufsichtsrats der Gesellschaft haften neben dem Ersatzpflichtigen nach § 309 als Gesamtschuldner, wenn sie unter Verletzung ihrer Pflichten gehandelt haben. Ist streitig, ob sie die Sorgfalt eines ordentlichen und gewissenhaften Geschäftsleiters angewandt haben, so trifft sie die Beweislast.</w:t>
      </w:r>
    </w:p>
    <w:p>
      <w:r>
        <w:t xml:space="preserve">(2) Dadurch, daß der Aufsichtsrat die Handlung gebilligt hat, wird die Ersatzpflicht nicht ausgeschlossen.</w:t>
      </w:r>
    </w:p>
    <w:p>
      <w:r>
        <w:t xml:space="preserve">(3) Eine Ersatzpflicht der Verwaltungsmitglieder der Gesellschaft besteht nicht, wenn die schädigende Handlung auf einer Weisung beruht, die nach § 308 Abs. 2 zu befolgen war.</w:t>
      </w:r>
    </w:p>
    <w:p>
      <w:r>
        <w:t xml:space="preserve">(4) § 309 Abs. 3 bis 5 ist anzuwenden.</w:t>
      </w:r>
    </w:p>
    <w:p>
      <w:r>
        <w:rPr>
          <w:color w:val="555555"/>
          <w:sz w:val="17"/>
        </w:rPr>
        <w:t xml:space="preserve">Zitiervorschlag: § 310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https://recht.nulegal.eu/gesetze/AktG/310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