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AktG — Bestellung des Aufsichtsrats bei Sachgründung</w:t>
      </w:r>
    </w:p>
    <w:p>
      <w:r>
        <w:rPr>
          <w:color w:val="555555"/>
          <w:sz w:val="18"/>
        </w:rPr>
        <w:t xml:space="preserve">Aktiengesetz</w:t>
      </w:r>
    </w:p>
    <w:p>
      <w:r>
        <w:rPr>
          <w:color w:val="555555"/>
          <w:sz w:val="18"/>
        </w:rPr>
        <w:t xml:space="preserve">Stand: 10.06.2019 (konsolidierte Textfassung, kein amtliches Inkrafttretensdatum)</w:t>
      </w:r>
    </w:p>
    <w:p>
      <w:r>
        <w:t xml:space="preserve">(1) Ist in der Satzung als Gegenstand einer Sacheinlage oder Sachübernahme die Einbringung oder Übernahme eines Unternehmens oder eines Teils eines Unternehmens festgesetzt worden, so haben die Gründer nur so viele Aufsichtsratsmitglieder zu bestellen, wie nach den gesetzlichen Vorschriften, die nach ihrer Ansicht nach der Einbringung oder Übernahme für die Zusammensetzung des Aufsichtsrats maßgebend sind, von der Hauptversammlung ohne Bindung an Wahlvorschläge zu wählen sind. Sie haben jedoch, wenn dies nur zwei Aufsichtsratsmitglieder sind, drei Aufsichtsratsmitglieder zu bestellen.</w:t>
      </w:r>
    </w:p>
    <w:p>
      <w:r>
        <w:t xml:space="preserve">(2) Der nach Absatz 1 Satz 1 bestellte Aufsichtsrat ist, soweit die Satzung nichts anderes bestimmt, beschlußfähig, wenn die Hälfte, mindestens jedoch drei seiner Mitglieder an der Beschlußfassung teilnehmen.</w:t>
      </w:r>
    </w:p>
    <w:p>
      <w:r>
        <w:t xml:space="preserve">(3) Unverzüglich nach der Einbringung oder Übernahme des Unternehmens oder des Unternehmensteils hat der Vorstand bekanntzumachen, nach welchen gesetzlichen Vorschriften nach seiner Ansicht der Aufsichtsrat zusammengesetzt sein muß. §§ 97 bis 99 gelten sinngemäß. Das Amt der bisherigen Aufsichtsratsmitglieder erlischt nur, wenn der Aufsichtsrat nach anderen als den von den Gründern für maßgebend gehaltenen Vorschriften zusammenzusetzen ist oder wenn die Gründer drei Aufsichtsratsmitglieder bestellt haben, der Aufsichtsrat aber auch aus Aufsichtsratsmitgliedern der Arbeitnehmer zu bestehen hat.</w:t>
      </w:r>
    </w:p>
    <w:p>
      <w:r>
        <w:t xml:space="preserve">(4) Absatz 3 gilt nicht, wenn das Unternehmen oder der Unternehmensteil erst nach der Bekanntmachung des Vorstands nach § 30 Abs. 3 Satz 2 eingebracht oder übernommen wird.</w:t>
      </w:r>
    </w:p>
    <w:p>
      <w:r>
        <w:t xml:space="preserve">(5) § 30 Abs. 3 Satz 1 gilt nicht für die nach Absatz 3 bestellten Aufsichtsratsmitglieder der Arbeitnehmer.</w:t>
      </w:r>
    </w:p>
    <w:p>
      <w:r>
        <w:rPr>
          <w:color w:val="555555"/>
          <w:sz w:val="17"/>
        </w:rPr>
        <w:t xml:space="preserve">Zitiervorschlag: § 31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