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297 AktG — Kündigung</w:t>
      </w:r>
    </w:p>
    <w:p>
      <w:r>
        <w:rPr>
          <w:color w:val="555555"/>
          <w:sz w:val="18"/>
        </w:rPr>
        <w:t xml:space="preserve">Aktiengesetz</w:t>
      </w:r>
    </w:p>
    <w:p>
      <w:r>
        <w:rPr>
          <w:color w:val="555555"/>
          <w:sz w:val="18"/>
        </w:rPr>
        <w:t xml:space="preserve">Stand: 10.06.2019 (konsolidierte Textfassung, kein amtliches Inkrafttretensdatum)</w:t>
      </w:r>
    </w:p>
    <w:p>
      <w:r>
        <w:t xml:space="preserve">(1) Ein Unternehmensvertrag kann aus wichtigem Grund ohne Einhaltung einer Kündigungsfrist gekündigt werden. Ein wichtiger Grund liegt namentlich vor, wenn der andere Vertragsteil voraussichtlich nicht in der Lage sein wird, seine auf Grund des Vertrags bestehenden Verpflichtungen zu erfüllen.</w:t>
      </w:r>
    </w:p>
    <w:p>
      <w:r>
        <w:t xml:space="preserve">(2) Der Vorstand der Gesellschaft kann einen Vertrag, der zur Leistung eines Ausgleichs an die außenstehenden Aktionäre der Gesellschaft oder zum Erwerb ihrer Aktien verpflichtet, ohne wichtigen Grund nur kündigen, wenn die außenstehenden Aktionäre durch Sonderbeschluß zustimmen. Für den Sonderbeschluß gilt § 293 Abs. 1 Satz 2 und 3, § 295 Abs. 2 Satz 3 sinngemäß.</w:t>
      </w:r>
    </w:p>
    <w:p>
      <w:r>
        <w:t xml:space="preserve">(3) Die Kündigung bedarf der schriftlichen Form.</w:t>
      </w:r>
    </w:p>
    <w:p>
      <w:r>
        <w:rPr>
          <w:color w:val="555555"/>
          <w:sz w:val="17"/>
        </w:rPr>
        <w:t xml:space="preserve">Zitiervorschlag: § 297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https://recht.nulegal.eu/gesetze/AktG/297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