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293g AktG — Durchführung der Hauptversammlung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Hauptversammlung sind die in § 293f Abs. 1 bezeichneten Unterlagen zugänglich zu machen.</w:t>
      </w:r>
    </w:p>
    <w:p>
      <w:r>
        <w:t xml:space="preserve">(2) Der Vorstand hat den Unternehmensvertrag zu Beginn der Verhandlung mündlich zu erläutern. Er ist der Niederschrift als Anlage beizufügen.</w:t>
      </w:r>
    </w:p>
    <w:p>
      <w:r>
        <w:t xml:space="preserve">(3) Jedem Aktionär ist auf Verlangen in der Hauptversammlung Auskunft auch über alle für den Vertragsschluß wesentlichen Angelegenheiten des anderen Vertragsteils zu geben.</w:t>
      </w:r>
    </w:p>
    <w:p>
      <w:r>
        <w:rPr>
          <w:color w:val="555555"/>
          <w:sz w:val="17"/>
        </w:rPr>
        <w:t xml:space="preserve">Zitiervorschlag: § 293g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https://recht.nulegal.eu/gesetze/AktG/293g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