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293f AktG — Vorbereitung der Hauptversammlung</w:t>
      </w:r>
    </w:p>
    <w:p>
      <w:r>
        <w:rPr>
          <w:color w:val="555555"/>
          <w:sz w:val="18"/>
        </w:rPr>
        <w:t xml:space="preserve">Aktiengesetz</w:t>
      </w:r>
    </w:p>
    <w:p>
      <w:r>
        <w:rPr>
          <w:color w:val="555555"/>
          <w:sz w:val="18"/>
        </w:rPr>
        <w:t xml:space="preserve">Stand: 10.06.2019 (konsolidierte Textfassung, kein amtliches Inkrafttretensdatum)</w:t>
      </w:r>
    </w:p>
    <w:p>
      <w:r>
        <w:t xml:space="preserve">(1) Von der Einberufung der Hauptversammlung an, die über die Zustimmung zu dem Unternehmensvertrag beschließen soll, sind in dem Geschäftsraum jeder der beteiligten Aktiengesellschaften oder Kommanditgesellschaften auf Aktien zur Einsicht der Aktionäre auszulegen</w:t>
      </w:r>
    </w:p>
    <w:p>
      <w:pPr>
        <w:ind w:left="420"/>
      </w:pPr>
      <w:r>
        <w:t xml:space="preserve">1. der Unternehmensvertrag;</w:t>
      </w:r>
    </w:p>
    <w:p>
      <w:pPr>
        <w:ind w:left="420"/>
      </w:pPr>
      <w:r>
        <w:t xml:space="preserve">2. die Jahresabschlüsse und die Lageberichte der vertragschließenden Unternehmen für die letzten drei Geschäftsjahre;</w:t>
      </w:r>
    </w:p>
    <w:p>
      <w:pPr>
        <w:ind w:left="420"/>
      </w:pPr>
      <w:r>
        <w:t xml:space="preserve">3. die nach § 293a erstatteten Berichte der Vorstände und die nach § 293e erstatteten Berichte der Vertragsprüfer.</w:t>
      </w:r>
    </w:p>
    <w:p>
      <w:r>
        <w:t xml:space="preserve">(2) Auf Verlangen ist jedem Aktionär unverzüglich und kostenlos eine Abschrift der in Absatz 1 bezeichneten Unterlagen zu erteilen.</w:t>
      </w:r>
    </w:p>
    <w:p>
      <w:r>
        <w:t xml:space="preserve">(3) Die Verpflichtungen nach den Absätzen 1 und 2 entfallen, wenn die in Absatz 1 bezeichneten Unterlagen für denselben Zeitraum über die Internetseite der Gesellschaft zugänglich sind.</w:t>
      </w:r>
    </w:p>
    <w:p>
      <w:r>
        <w:rPr>
          <w:color w:val="555555"/>
          <w:sz w:val="17"/>
        </w:rPr>
        <w:t xml:space="preserve">Zitiervorschlag: § 293f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https://recht.nulegal.eu/gesetze/AktG/293f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