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 AktG — Zustimmung der Hauptversammlung</w:t>
      </w:r>
    </w:p>
    <w:p>
      <w:r>
        <w:rPr>
          <w:color w:val="555555"/>
          <w:sz w:val="18"/>
        </w:rPr>
        <w:t xml:space="preserve">Aktiengesetz</w:t>
      </w:r>
    </w:p>
    <w:p>
      <w:r>
        <w:rPr>
          <w:color w:val="555555"/>
          <w:sz w:val="18"/>
        </w:rPr>
        <w:t xml:space="preserve">Stand: 10.06.2019 (konsolidierte Textfassung, kein amtliches Inkrafttretensdatum)</w:t>
      </w:r>
    </w:p>
    <w:p>
      <w:r>
        <w:t xml:space="preserve">(1) Ein Unternehmensvertrag wird nur mit Zustimmung der Hauptversammlung wirksam. Der Beschluß bedarf einer Mehrheit, die mindestens drei Viertel des bei der Beschlußfassung vertretenen Grundkapitals umfaßt. Die Satzung kann eine größere Kapitalmehrheit und weitere Erfordernisse bestimmen. Auf den Beschluß sind die Bestimmungen des Gesetzes und der Satzung über Satzungsänderungen nicht anzuwenden.</w:t>
      </w:r>
    </w:p>
    <w:p>
      <w:r>
        <w:t xml:space="preserve">(2) Ein Beherrschungs- oder ein Gewinnabführungsvertrag wird, wenn der andere Vertragsteil eine Aktiengesellschaft oder Kommanditgesellschaft auf Aktien ist, nur wirksam, wenn auch die Hauptversammlung dieser Gesellschaft zustimmt. Für den Beschluß gilt Absatz 1 Satz 2 bis 4 sinngemäß.</w:t>
      </w:r>
    </w:p>
    <w:p>
      <w:r>
        <w:t xml:space="preserve">(3) Der Vertrag bedarf der schriftlichen Form.</w:t>
      </w:r>
    </w:p>
    <w:p>
      <w:r>
        <w:t xml:space="preserve">(4) (weggefallen)</w:t>
      </w:r>
    </w:p>
    <w:p>
      <w:r>
        <w:rPr>
          <w:color w:val="555555"/>
          <w:sz w:val="17"/>
        </w:rPr>
        <w:t xml:space="preserve">Zitiervorschlag: § 293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