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288 AktG — Entnahmen der persönlich haftenden Gesellschafter. Kreditgewährung</w:t>
      </w:r>
    </w:p>
    <w:p>
      <w:r>
        <w:rPr>
          <w:color w:val="555555"/>
          <w:sz w:val="18"/>
        </w:rPr>
        <w:t xml:space="preserve">Aktiengesetz</w:t>
      </w:r>
    </w:p>
    <w:p>
      <w:r>
        <w:rPr>
          <w:color w:val="555555"/>
          <w:sz w:val="18"/>
        </w:rPr>
        <w:t xml:space="preserve">Stand: 10.06.2019 (konsolidierte Textfassung, kein amtliches Inkrafttretensdatum)</w:t>
      </w:r>
    </w:p>
    <w:p>
      <w:r>
        <w:t xml:space="preserve">(1) Entfällt auf einen persönlich haftenden Gesellschafter ein Verlust, der seinen Kapitalanteil übersteigt, so darf er keinen Gewinn auf seinen Kapitalanteil entnehmen. Er darf ferner keinen solchen Gewinnanteil und kein Geld auf seinen Kapitalanteil entnehmen, solange die Summe aus Bilanzverlust, Einzahlungsverpflichtungen, Verlustanteilen persönlich haftender Gesellschafter und Forderungen aus Krediten an persönlich haftende Gesellschafter und deren Angehörige die Summe aus Gewinnvortrag, Kapital- und Gewinnrücklagen sowie Kapitalanteilen der persönlich haftenden Gesellschafter übersteigt.</w:t>
      </w:r>
    </w:p>
    <w:p>
      <w:r>
        <w:t xml:space="preserve">(2) Solange die Voraussetzung von Absatz 1 Satz 2 vorliegt, darf die Gesellschaft keinen unter § 286 Abs. 2 Satz 4 fallenden Kredit gewähren. Ein trotzdem gewährter Kredit ist ohne Rücksicht auf entgegenstehende Vereinbarungen sofort zurückzugewähren.</w:t>
      </w:r>
    </w:p>
    <w:p>
      <w:r>
        <w:t xml:space="preserve">(3) Ansprüche persönlich haftender Gesellschafter auf nicht vom Gewinn abhängige Tätigkeitsvergütungen werden durch diese Vorschriften nicht berührt. Für eine Herabsetzung solcher Vergütungen gilt § 87 Abs. 2 Satz 1 und 2 sinngemäß.</w:t>
      </w:r>
    </w:p>
    <w:p>
      <w:r>
        <w:rPr>
          <w:color w:val="555555"/>
          <w:sz w:val="17"/>
        </w:rPr>
        <w:t xml:space="preserve">Zitiervorschlag: § 288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