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283 AktG — Persönlich haftende Gesellschafter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Für die persönlich haftenden Gesellschafter gelten sinngemäß die für den Vorstand der Aktiengesellschaft geltenden Vorschriften über</w:t>
      </w:r>
    </w:p>
    <w:p>
      <w:pPr>
        <w:ind w:left="420"/>
      </w:pPr>
      <w:r>
        <w:t xml:space="preserve">1. die Anmeldungen, Einreichungen, Erklärungen und Nachweise zum Handelsregister sowie über Bekanntmachungen;</w:t>
      </w:r>
    </w:p>
    <w:p>
      <w:pPr>
        <w:ind w:left="420"/>
      </w:pPr>
      <w:r>
        <w:t xml:space="preserve">2. die Gründungsprüfung;</w:t>
      </w:r>
    </w:p>
    <w:p>
      <w:pPr>
        <w:ind w:left="420"/>
      </w:pPr>
      <w:r>
        <w:t xml:space="preserve">3. die Sorgfaltspflicht und Verantwortlichkeit;</w:t>
      </w:r>
    </w:p>
    <w:p>
      <w:pPr>
        <w:ind w:left="420"/>
      </w:pPr>
      <w:r>
        <w:t xml:space="preserve">4. die Pflichten gegenüber dem Aufsichtsrat;</w:t>
      </w:r>
    </w:p>
    <w:p>
      <w:pPr>
        <w:ind w:left="420"/>
      </w:pPr>
      <w:r>
        <w:t xml:space="preserve">5. die Zulässigkeit einer Kreditgewährung;</w:t>
      </w:r>
    </w:p>
    <w:p>
      <w:pPr>
        <w:ind w:left="420"/>
      </w:pPr>
      <w:r>
        <w:t xml:space="preserve">6. die Einberufung der Hauptversammlung;</w:t>
      </w:r>
    </w:p>
    <w:p>
      <w:pPr>
        <w:ind w:left="420"/>
      </w:pPr>
      <w:r>
        <w:t xml:space="preserve">7. die Sonderprüfung;</w:t>
      </w:r>
    </w:p>
    <w:p>
      <w:pPr>
        <w:ind w:left="420"/>
      </w:pPr>
      <w:r>
        <w:t xml:space="preserve">8. die Geltendmachung von Ersatzansprüchen wegen der Geschäftsführung;</w:t>
      </w:r>
    </w:p>
    <w:p>
      <w:pPr>
        <w:ind w:left="420"/>
      </w:pPr>
      <w:r>
        <w:t xml:space="preserve">9. die Aufstellung, Vorlegung und Prüfung des Jahresabschlusses und des Vorschlags für die Verwendung des Bilanzgewinns;</w:t>
      </w:r>
    </w:p>
    <w:p>
      <w:pPr>
        <w:ind w:left="420"/>
      </w:pPr>
      <w:r>
        <w:t xml:space="preserve">10. die Vorlage und Prüfung des Lageberichts, eines gesonderten nichtfinanziellen Berichts sowie eines Konzernabschlusses, eines Konzernlageberichts und eines gesonderten nichtfinanziellen Konzernberichts;</w:t>
      </w:r>
    </w:p>
    <w:p>
      <w:pPr>
        <w:ind w:left="420"/>
      </w:pPr>
      <w:r>
        <w:t xml:space="preserve">11. die Vorlegung, Prüfung und Offenlegung eines Einzelabschlusses nach § 325 Abs. 2a des Handelsgesetzbuchs;</w:t>
      </w:r>
    </w:p>
    <w:p>
      <w:pPr>
        <w:ind w:left="420"/>
      </w:pPr>
      <w:r>
        <w:t xml:space="preserve">11a. die Vorlage eines Ertragsteuerinformationsberichts (§§ 342b, 342c, 342d Absatz 2 Nummer 2 des Handelsgesetzbuchs) und einer Erklärung nach § 342d Absatz 2 Nummer 1 des Handelsgesetzbuchs;</w:t>
      </w:r>
    </w:p>
    <w:p>
      <w:pPr>
        <w:ind w:left="420"/>
      </w:pPr>
      <w:r>
        <w:t xml:space="preserve">12. die Ausgabe von Aktien bei bedingter Kapitalerhöhung, bei genehmigtem Kapital und bei Kapitalerhöhung aus Gesellschaftsmitteln;</w:t>
      </w:r>
    </w:p>
    <w:p>
      <w:pPr>
        <w:ind w:left="420"/>
      </w:pPr>
      <w:r>
        <w:t xml:space="preserve">13. die Nichtigkeit und Anfechtung von Hauptversammlungsbeschlüssen;</w:t>
      </w:r>
    </w:p>
    <w:p>
      <w:pPr>
        <w:ind w:left="420"/>
      </w:pPr>
      <w:r>
        <w:t xml:space="preserve">14. den Antrag auf Eröffnung des Insolvenzverfahrens.</w:t>
      </w:r>
    </w:p>
    <w:p>
      <w:r>
        <w:rPr>
          <w:color w:val="555555"/>
          <w:sz w:val="17"/>
        </w:rPr>
        <w:t xml:space="preserve">Zitiervorschlag: § 283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