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281 AktG — Inhalt der Satzung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Satzung muß außer den Festsetzungen nach § 23 Abs. 3 und 4 den Namen, Vornamen und Wohnort jedes persönlich haftenden Gesellschafters enthalten.</w:t>
      </w:r>
    </w:p>
    <w:p>
      <w:r>
        <w:t xml:space="preserve">(2) Vermögenseinlagen der persönlich haftenden Gesellschafter müssen, wenn sie nicht auf das Grundkapital geleistet werden, nach Höhe und Art in der Satzung festgesetzt werden.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281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