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280 AktG — Feststellung der Satzung. Gründer</w:t>
      </w:r>
    </w:p>
    <w:p>
      <w:r>
        <w:rPr>
          <w:color w:val="555555"/>
          <w:sz w:val="18"/>
        </w:rPr>
        <w:t xml:space="preserve">Aktiengesetz</w:t>
      </w:r>
    </w:p>
    <w:p>
      <w:r>
        <w:rPr>
          <w:color w:val="555555"/>
          <w:sz w:val="18"/>
        </w:rPr>
        <w:t xml:space="preserve">Stand: 10.06.2019 (konsolidierte Textfassung, kein amtliches Inkrafttretensdatum)</w:t>
      </w:r>
    </w:p>
    <w:p>
      <w:r>
        <w:t xml:space="preserve">(1) Die Satzung muß durch notarielle Beurkundung festgestellt werden. In der Urkunde sind bei Nennbetragsaktien der Nennbetrag, bei Stückaktien die Zahl, der Ausgabebetrag und, wenn mehrere Gattungen bestehen, die Gattung der Aktien anzugeben, die jeder Beteiligte übernimmt. Bevollmächtigte bedürfen einer notariell beglaubigten Vollmacht.</w:t>
      </w:r>
    </w:p>
    <w:p>
      <w:r>
        <w:t xml:space="preserve">(2) Alle persönlich haftenden Gesellschafter müssen sich bei der Feststellung der Satzung beteiligen. Außer ihnen müssen die Personen mitwirken, die als Kommanditaktionäre Aktien gegen Einlagen übernehmen.</w:t>
      </w:r>
    </w:p>
    <w:p>
      <w:r>
        <w:t xml:space="preserve">(3) Die Gesellschafter, die die Satzung festgestellt haben, sind die Gründer der Gesellschaft.</w:t>
      </w:r>
    </w:p>
    <w:p>
      <w:r>
        <w:rPr>
          <w:color w:val="555555"/>
          <w:sz w:val="17"/>
        </w:rPr>
        <w:t xml:space="preserve">Zitiervorschlag: § 280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