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279 AktG — Firma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Firma der Kommanditgesellschaft auf Aktien muß, auch wenn sie nach § 22 des Handelsgesetzbuchs oder nach anderen gesetzlichen Vorschriften fortgeführt wird, die Bezeichnung "Kommanditgesellschaft auf Aktien" oder eine allgemein verständliche Abkürzung dieser Bezeichnung enthalten.</w:t>
      </w:r>
    </w:p>
    <w:p>
      <w:r>
        <w:t xml:space="preserve">(2) Wenn in der Gesellschaft keine natürliche Person persönlich haftet, muß die Firma, auch wenn sie nach § 22 des Handelsgesetzbuchs oder nach anderen gesetzlichen Vorschriften fortgeführt wird, eine Bezeichnung enthalten, welche die Haftungsbeschränkung kennzeichnet.</w:t>
      </w:r>
    </w:p>
    <w:p>
      <w:r>
        <w:rPr>
          <w:color w:val="555555"/>
          <w:sz w:val="17"/>
        </w:rPr>
        <w:t xml:space="preserve">Zitiervorschlag: § 279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