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277 AktG — Wirkung der Eintragung der Nichtigkeit</w:t>
      </w:r>
    </w:p>
    <w:p>
      <w:r>
        <w:rPr>
          <w:color w:val="555555"/>
          <w:sz w:val="18"/>
        </w:rPr>
        <w:t xml:space="preserve">Aktiengesetz</w:t>
      </w:r>
    </w:p>
    <w:p>
      <w:r>
        <w:rPr>
          <w:color w:val="555555"/>
          <w:sz w:val="18"/>
        </w:rPr>
        <w:t xml:space="preserve">Stand: 10.06.2019 (konsolidierte Textfassung, kein amtliches Inkrafttretensdatum)</w:t>
      </w:r>
    </w:p>
    <w:p>
      <w:r>
        <w:t xml:space="preserve">(1) Ist die Nichtigkeit einer Gesellschaft auf Grund rechtskräftigen Urteils oder einer Entscheidung des Registergerichts in das Handelsregister eingetragen, so findet die Abwicklung nach den Vorschriften über die Abwicklung bei Auflösung statt.</w:t>
      </w:r>
    </w:p>
    <w:p>
      <w:r>
        <w:t xml:space="preserve">(2) Die Wirksamkeit der im Namen der Gesellschaft vorgenommenen Rechtsgeschäfte wird durch die Nichtigkeit nicht berührt.</w:t>
      </w:r>
    </w:p>
    <w:p>
      <w:r>
        <w:t xml:space="preserve">(3) Die Gesellschafter haben die Einlagen zu leisten, soweit es zur Erfüllung der eingegangenen Verbindlichkeiten nötig ist.</w:t>
      </w:r>
    </w:p>
    <w:p>
      <w:r>
        <w:rPr>
          <w:color w:val="555555"/>
          <w:sz w:val="17"/>
        </w:rPr>
        <w:t xml:space="preserve">Zitiervorschlag: § 277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