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274 AktG — Fortsetzung einer aufgelösten Gesellschaft</w:t>
      </w:r>
    </w:p>
    <w:p>
      <w:r>
        <w:rPr>
          <w:color w:val="555555"/>
          <w:sz w:val="18"/>
        </w:rPr>
        <w:t xml:space="preserve">Aktiengesetz</w:t>
      </w:r>
    </w:p>
    <w:p>
      <w:r>
        <w:rPr>
          <w:color w:val="555555"/>
          <w:sz w:val="18"/>
        </w:rPr>
        <w:t xml:space="preserve">Stand: 10.06.2019 (konsolidierte Textfassung, kein amtliches Inkrafttretensdatum)</w:t>
      </w:r>
    </w:p>
    <w:p>
      <w:r>
        <w:t xml:space="preserve">(1) Ist eine Aktiengesellschaft durch Zeitablauf oder durch Beschluß der Hauptversammlung aufgelöst worden, so kann die Hauptversammlung, solange noch nicht mit der Verteilung des Vermögens unter die Aktionäre begonnen ist, die Fortsetzung der Gesellschaft beschließen. Der Beschluß bedarf einer Mehrheit, die mindestens drei Viertel des bei der Beschlußfassung vertretenen Grundkapitals umfaßt. Die Satzung kann eine größere Kapitalmehrheit und weitere Erfordernisse bestimmen.</w:t>
      </w:r>
    </w:p>
    <w:p>
      <w:r>
        <w:t xml:space="preserve">(2) Gleiches gilt, wenn die Gesellschaft</w:t>
      </w:r>
    </w:p>
    <w:p>
      <w:pPr>
        <w:ind w:left="420"/>
      </w:pPr>
      <w:r>
        <w:t xml:space="preserve">1. durch die Eröffnung des Insolvenzverfahrens aufgelöst, das Verfahren aber auf Antrag des Schuldners eingestellt oder nach der Bestätigung eines Insolvenzplans, der den Fortbestand der Gesellschaft vorsieht, aufgehoben worden ist;</w:t>
      </w:r>
    </w:p>
    <w:p>
      <w:pPr>
        <w:ind w:left="420"/>
      </w:pPr>
      <w:r>
        <w:t xml:space="preserve">2. durch die gerichtliche Feststellung eines Mangels der Satzung nach § 262 Abs. 1 Nr. 5 aufgelöst worden ist, eine den Mangel behebende Satzungsänderung aber spätestens zugleich mit der Fortsetzung der Gesellschaft beschlossen wird.</w:t>
      </w:r>
    </w:p>
    <w:p>
      <w:r>
        <w:t xml:space="preserve">(3) Die Abwickler haben die Fortsetzung der Gesellschaft zur Eintragung in das Handelsregister anzumelden. Sie haben bei der Anmeldung nachzuweisen, daß noch nicht mit der Verteilung des Vermögens der Gesellschaft unter die Aktionäre begonnen worden ist.</w:t>
      </w:r>
    </w:p>
    <w:p>
      <w:r>
        <w:t xml:space="preserve">(4) Der Fortsetzungsbeschluß wird erst wirksam, wenn er in das Handelsregister des Sitzes der Gesellschaft eingetragen worden ist. Im Falle des Absatzes 2 Nr. 2 hat der Fortsetzungsbeschluß keine Wirkung, solange er und der Beschluß über die Satzungsänderung nicht in das Handelsregister des Sitzes der Gesellschaft eingetragen worden sind; die beiden Beschlüsse sollen nur zusammen in das Handelsregister eingetragen werden.</w:t>
      </w:r>
    </w:p>
    <w:p>
      <w:r>
        <w:rPr>
          <w:color w:val="555555"/>
          <w:sz w:val="17"/>
        </w:rPr>
        <w:t xml:space="preserve">Zitiervorschlag: § 274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