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273 AktG — Schluß der Abwicklung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Abwicklung beendet und die Schlußrechnung gelegt, so haben die Abwickler den Schluß der Abwicklung zur Eintragung in das Handelsregister anzumelden. Die Gesellschaft ist zu löschen.</w:t>
      </w:r>
    </w:p>
    <w:p>
      <w:r>
        <w:t xml:space="preserve">(2) Die Bücher und Schriften der Gesellschaft sind an einem vom Gericht bestimmten sicheren Ort zur Aufbewahrung auf zehn Jahre zu hinterlegen.</w:t>
      </w:r>
    </w:p>
    <w:p>
      <w:r>
        <w:t xml:space="preserve">(3) Das Gericht kann den Aktionären und den Gläubigern die Einsicht der Bücher und Schriften gestatten.</w:t>
      </w:r>
    </w:p>
    <w:p>
      <w:r>
        <w:t xml:space="preserve">(4) Stellt sich nachträglich heraus, daß weitere Abwicklungsmaßnahmen nötig sind, so hat auf Antrag eines Beteiligten das Gericht die bisherigen Abwickler neu zu bestellen oder andere Abwickler zu berufen. § 265 Abs. 4 gilt.</w:t>
      </w:r>
    </w:p>
    <w:p>
      <w:r>
        <w:t xml:space="preserve">(5) Gegen die Entscheidungen nach den Absätzen 2, 3 und 4 Satz 1 ist die Beschwerde zulässig.</w:t>
      </w:r>
    </w:p>
    <w:p>
      <w:r>
        <w:rPr>
          <w:color w:val="555555"/>
          <w:sz w:val="17"/>
        </w:rPr>
        <w:t xml:space="preserve">Zitiervorschlag: § 273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