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272 AktG — Gläubigerschutz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Vermögen darf nur verteilt werden, wenn ein Jahr seit dem Tag verstrichen ist, an dem der Aufruf der Gläubiger bekanntgemacht worden ist.</w:t>
      </w:r>
    </w:p>
    <w:p>
      <w:r>
        <w:t xml:space="preserve">(2) Meldet sich ein bekannter Gläubiger nicht, so ist der geschuldete Betrag für ihn zu hinterlegen, wenn ein Recht zur Hinterlegung besteht.</w:t>
      </w:r>
    </w:p>
    <w:p>
      <w:r>
        <w:t xml:space="preserve">(3) Kann eine Verbindlichkeit zur Zeit nicht berichtigt werden oder ist sie streitig, so darf das Vermögen nur verteilt werden, wenn dem Gläubiger Sicherheit geleistet ist.</w:t>
      </w:r>
    </w:p>
    <w:p>
      <w:r>
        <w:rPr>
          <w:color w:val="555555"/>
          <w:sz w:val="17"/>
        </w:rPr>
        <w:t xml:space="preserve">Zitiervorschlag: § 272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