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268 AktG — Pflichten der Abwickler</w:t>
      </w:r>
    </w:p>
    <w:p>
      <w:r>
        <w:rPr>
          <w:color w:val="555555"/>
          <w:sz w:val="18"/>
        </w:rPr>
        <w:t xml:space="preserve">Aktiengesetz</w:t>
      </w:r>
    </w:p>
    <w:p>
      <w:r>
        <w:rPr>
          <w:color w:val="555555"/>
          <w:sz w:val="18"/>
        </w:rPr>
        <w:t xml:space="preserve">Stand: 10.06.2019 (konsolidierte Textfassung, kein amtliches Inkrafttretensdatum)</w:t>
      </w:r>
    </w:p>
    <w:p>
      <w:r>
        <w:t xml:space="preserve">(1) Die Abwickler haben die laufenden Geschäfte zu beenden, die Forderungen einzuziehen, das übrige Vermögen in Geld umzusetzen und die Gläubiger zu befriedigen. Soweit es die Abwicklung erfordert, dürfen sie auch neue Geschäfte eingehen.</w:t>
      </w:r>
    </w:p>
    <w:p>
      <w:r>
        <w:t xml:space="preserve">(2) Im übrigen haben die Abwickler innerhalb ihres Geschäftskreises die Rechte und Pflichten des Vorstands. Sie unterliegen wie dieser der Überwachung durch den Aufsichtsrat.</w:t>
      </w:r>
    </w:p>
    <w:p>
      <w:r>
        <w:t xml:space="preserve">(3) Das Wettbewerbsverbot des § 88 gilt für sie nicht.</w:t>
      </w:r>
    </w:p>
    <w:p>
      <w:r>
        <w:t xml:space="preserve">(4) Auf allen Geschäftsbriefen, die an einen bestimmten Empfänger gerichtet werden, müssen die Rechtsform und der Sitz der Gesellschaft, die Tatsache, daß die Gesellschaft sich in Abwicklung befindet, das Registergericht des Sitzes der Gesellschaft und die Nummer, unter der die Gesellschaft in das Handelsregister eingetragen ist, sowie alle Abwickler und der Vorsitzende des Aufsichtsrats mit dem Familiennamen und mindestens einem ausgeschriebenen Vornamen angegeben werden. Werden Angaben über das Kapital der Gesellschaft gemacht, so müssen in jedem Fall das Grundkapital sowie, wenn auf die Aktien der Ausgabebetrag nicht vollständig eingezahlt ist, der Gesamtbetrag der ausstehenden Einlagen angegeben werden. Der Angaben nach Satz 1 bedarf es nicht bei Mitteilungen oder Berichten, die im Rahmen einer bestehenden Geschäftsverbindung ergehen und für die üblicherweise Vordrucke verwendet werden, in denen lediglich die im Einzelfall erforderlichen besonderen Angaben eingefügt zu werden brauchen. Bestellscheine gelten als Geschäftsbriefe im Sinne des Satzes 1; Satz 3 ist auf sie nicht anzuwenden.</w:t>
      </w:r>
    </w:p>
    <w:p>
      <w:r>
        <w:rPr>
          <w:color w:val="555555"/>
          <w:sz w:val="17"/>
        </w:rPr>
        <w:t xml:space="preserve">Zitiervorschlag: § 268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https://recht.nulegal.eu/gesetze/AktG/268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