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266 AktG — Anmeldung der Abwickler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ersten Abwickler sowie ihre Vertretungsbefugnis hat der Vorstand, jeden Wechsel der Abwickler und jede Änderung ihrer Vertretungsbefugnis haben die Abwickler zur Eintragung in das Handelsregister anzumelden.</w:t>
      </w:r>
    </w:p>
    <w:p>
      <w:r>
        <w:t xml:space="preserve">(2) Der Anmeldung sind die Urkunden über die Bestellung oder Abberufung sowie über die Vertretungsbefugnis in Urschrift oder öffentlich beglaubigter Abschrift beizufügen.</w:t>
      </w:r>
    </w:p>
    <w:p>
      <w:r>
        <w:t xml:space="preserve">(3) In der Anmeldung haben die Abwickler zu versichern, daß keine Umstände vorliegen, die ihrer Bestellung nach § 265 Abs. 2 Satz 2 entgegenstehen, und daß sie über ihre unbeschränkte Auskunftspflicht gegenüber dem Gericht belehrt worden sind. § 37 Abs. 2 Satz 2 ist anzuwenden.</w:t>
      </w:r>
    </w:p>
    <w:p>
      <w:r>
        <w:t xml:space="preserve">(4) Die Bestellung oder Abberufung von Abwicklern durch das Gericht wird von Amts wegen eingetragen.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266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