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263 AktG — Anmeldung und Eintragung der Auflösung</w:t>
      </w:r>
    </w:p>
    <w:p>
      <w:r>
        <w:rPr>
          <w:color w:val="555555"/>
          <w:sz w:val="18"/>
        </w:rPr>
        <w:t xml:space="preserve">Aktiengesetz</w:t>
      </w:r>
    </w:p>
    <w:p>
      <w:r>
        <w:rPr>
          <w:color w:val="555555"/>
          <w:sz w:val="18"/>
        </w:rPr>
        <w:t xml:space="preserve">Stand: 10.06.2019 (konsolidierte Textfassung, kein amtliches Inkrafttretensdatum)</w:t>
      </w:r>
    </w:p>
    <w:p>
      <w:r>
        <w:t xml:space="preserve">Der Vorstand hat die Auflösung der Gesellschaft zur Eintragung in das Handelsregister anzumelden. Dies gilt nicht in den Fällen der Eröffnung und der Ablehnung der Eröffnung des Insolvenzverfahrens (§ 262 Abs. 1 Nr. 3 und 4) sowie im Falle der gerichtlichen Feststellung eines Mangels der Satzung (§ 262 Abs. 1 Nr. 5). In diesen Fällen hat das Gericht die Auflösung und ihren Grund von Amts wegen einzutragen. Im Falle der Löschung der Gesellschaft (§ 262 Abs. 1 Nr. 6) entfällt die Eintragung der Auflösung.</w:t>
      </w:r>
    </w:p>
    <w:p>
      <w:r>
        <w:rPr>
          <w:color w:val="555555"/>
          <w:sz w:val="17"/>
        </w:rPr>
        <w:t xml:space="preserve">Zitiervorschlag: § 263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