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262 AktG — Auflösungsgründe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Aktiengesellschaft wird aufgelöst</w:t>
      </w:r>
    </w:p>
    <w:p>
      <w:pPr>
        <w:ind w:left="420"/>
      </w:pPr>
      <w:r>
        <w:t xml:space="preserve">1. durch Ablauf der in der Satzung bestimmten Zeit;</w:t>
      </w:r>
    </w:p>
    <w:p>
      <w:pPr>
        <w:ind w:left="420"/>
      </w:pPr>
      <w:r>
        <w:t xml:space="preserve">2. durch Beschluß der Hauptversammlung; dieser bedarf einer Mehrheit, die mindestens drei Viertel des bei der Beschlußfassung vertretenen Grundkapitals umfaßt; die Satzung kann eine größere Kapitalmehrheit und weitere Erfordernisse bestimmen;</w:t>
      </w:r>
    </w:p>
    <w:p>
      <w:pPr>
        <w:ind w:left="420"/>
      </w:pPr>
      <w:r>
        <w:t xml:space="preserve">3. durch die Eröffnung des Insolvenzverfahrens über das Vermögen der Gesellschaft;</w:t>
      </w:r>
    </w:p>
    <w:p>
      <w:pPr>
        <w:ind w:left="420"/>
      </w:pPr>
      <w:r>
        <w:t xml:space="preserve">4. mit der Rechtskraft des Beschlusses, durch den die Eröffnung des Insolvenzverfahrens mangels Masse abgelehnt wird;</w:t>
      </w:r>
    </w:p>
    <w:p>
      <w:pPr>
        <w:ind w:left="420"/>
      </w:pPr>
      <w:r>
        <w:t xml:space="preserve">5. mit der Rechtskraft einer Verfügung des Registergerichts, durch welche nach § 399 des Gesetzes über das Verfahren in Familiensachen und in den Angelegenheiten der freiwilligen Gerichtsbarkeit ein Mangel der Satzung festgestellt worden ist;</w:t>
      </w:r>
    </w:p>
    <w:p>
      <w:pPr>
        <w:ind w:left="420"/>
      </w:pPr>
      <w:r>
        <w:t xml:space="preserve">6. durch Löschung der Gesellschaft wegen Vermögenslosigkeit nach § 394 des Gesetzes über das Verfahren in Familiensachen und in den Angelegenheiten der freiwilligen Gerichtsbarkeit.</w:t>
      </w:r>
    </w:p>
    <w:p>
      <w:r>
        <w:t xml:space="preserve">(2) Dieser Abschnitt gilt auch, wenn die Aktiengesellschaft aus anderen Gründen aufgelöst wird.</w:t>
      </w:r>
    </w:p>
    <w:p>
      <w:r>
        <w:rPr>
          <w:color w:val="555555"/>
          <w:sz w:val="17"/>
        </w:rPr>
        <w:t xml:space="preserve">Zitiervorschlag: § 262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