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257 AktG — Anfechtung der Feststellung des Jahresabschlusses durch die Hauptversammlung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Feststellung des Jahresabschlusses durch die Hauptversammlung kann nach § 243 angefochten werden. Die Anfechtung kann jedoch nicht darauf gestützt werden, daß der Inhalt des Jahresabschlusses gegen Gesetz oder Satzung verstößt.</w:t>
      </w:r>
    </w:p>
    <w:p>
      <w:r>
        <w:t xml:space="preserve">(2) Für die Anfechtung gelten die §§ 244 bis 246, 247 bis 248a. Die Anfechtungsfrist beginnt auch dann mit der Beschlußfassung, wenn der Jahresabschluß nach § 316 Abs. 3 des Handelsgesetzbuchs erneut zu prüfen ist.</w:t>
      </w:r>
    </w:p>
    <w:p>
      <w:r>
        <w:rPr>
          <w:color w:val="555555"/>
          <w:sz w:val="17"/>
        </w:rPr>
        <w:t xml:space="preserve">Zitiervorschlag: § 257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