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256 AktG — Nichtigkeit</w:t>
      </w:r>
    </w:p>
    <w:p>
      <w:r>
        <w:rPr>
          <w:color w:val="555555"/>
          <w:sz w:val="18"/>
        </w:rPr>
        <w:t xml:space="preserve">Aktiengesetz</w:t>
      </w:r>
    </w:p>
    <w:p>
      <w:r>
        <w:rPr>
          <w:color w:val="555555"/>
          <w:sz w:val="18"/>
        </w:rPr>
        <w:t xml:space="preserve">Stand: 01.08.2022 (konsolidierte Textfassung, kein amtliches Inkrafttretensdatum)</w:t>
      </w:r>
    </w:p>
    <w:p>
      <w:r>
        <w:t xml:space="preserve">(1) Ein festgestellter Jahresabschluß ist außer in den Fällen des § 173 Abs. 3, § 234 Abs. 3 und § 235 Abs. 2 nichtig, wenn</w:t>
      </w:r>
    </w:p>
    <w:p>
      <w:pPr>
        <w:ind w:left="420"/>
      </w:pPr>
      <w:r>
        <w:t xml:space="preserve">1. er durch seinen Inhalt Vorschriften verletzt, die ausschließlich oder überwiegend zum Schutz der Gläubiger der Gesellschaft gegeben sind,</w:t>
      </w:r>
    </w:p>
    <w:p>
      <w:pPr>
        <w:ind w:left="420"/>
      </w:pPr>
      <w:r>
        <w:t xml:space="preserve">2. er im Falle einer gesetzlichen Prüfungspflicht nicht nach § 316 Abs. 1 und 3 des Handelsgesetzbuchs geprüft worden ist;</w:t>
      </w:r>
    </w:p>
    <w:p>
      <w:pPr>
        <w:ind w:left="420"/>
      </w:pPr>
      <w:r>
        <w:t xml:space="preserve">3. er im Falle einer gesetzlichen Prüfungspflicht von Personen geprüft worden ist, die nach § 319 Absatz 1 des Handelsgesetzbuchs oder nach Artikel 25 des Einführungsgesetzes zum Handelsgesetzbuch nicht Abschlussprüfer sind oder aus anderen Gründen als den folgenden nicht zum Abschlussprüfer bestellt sind:</w:t>
      </w:r>
    </w:p>
    <w:p>
      <w:pPr>
        <w:ind w:left="780"/>
      </w:pPr>
      <w:r>
        <w:t xml:space="preserve">a) Verstoß gegen § 319 Absatz 2, 3 oder 4 des Handelsgesetzbuchs,</w:t>
      </w:r>
    </w:p>
    <w:p>
      <w:pPr>
        <w:ind w:left="780"/>
      </w:pPr>
      <w:r>
        <w:t xml:space="preserve">b) Verstoß gegen § 319b Absatz 1 des Handelsgesetzbuchs,</w:t>
      </w:r>
    </w:p>
    <w:p>
      <w:pPr>
        <w:ind w:left="780"/>
      </w:pPr>
      <w:r>
        <w:t xml:space="preserve">c) Verstoß gegen die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w:t>
      </w:r>
    </w:p>
    <w:p>
      <w:pPr>
        <w:ind w:left="420"/>
      </w:pPr>
      <w:r>
        <w:t xml:space="preserve">4. bei seiner Feststellung die Bestimmungen des Gesetzes oder der Satzung über die Einstellung von Beträgen in Kapital- oder Gewinnrücklagen oder über die Entnahme von Beträgen aus Kapital- oder Gewinnrücklagen verletzt worden sind.</w:t>
      </w:r>
    </w:p>
    <w:p>
      <w:r>
        <w:t xml:space="preserve">(2) Ein von Vorstand und Aufsichtsrat festgestellter Jahresabschluß ist außer nach Absatz 1 nur nichtig, wenn der Vorstand oder der Aufsichtsrat bei seiner Feststellung nicht ordnungsgemäß mitgewirkt hat.</w:t>
      </w:r>
    </w:p>
    <w:p>
      <w:r>
        <w:t xml:space="preserve">(3) Ein von der Hauptversammlung festgestellter Jahresabschluß ist außer nach Absatz 1 nur nichtig, wenn die Feststellung</w:t>
      </w:r>
    </w:p>
    <w:p>
      <w:pPr>
        <w:ind w:left="420"/>
      </w:pPr>
      <w:r>
        <w:t xml:space="preserve">1. in einer Hauptversammlung beschlossen worden ist, die unter Verstoß gegen § 121 Abs. 2 und 3 Satz 1 oder Abs. 4 einberufen war,</w:t>
      </w:r>
    </w:p>
    <w:p>
      <w:pPr>
        <w:ind w:left="420"/>
      </w:pPr>
      <w:r>
        <w:t xml:space="preserve">2. nicht nach § 130 Abs. 1 und 2 Satz 1 und Abs. 4 beurkundet ist,</w:t>
      </w:r>
    </w:p>
    <w:p>
      <w:pPr>
        <w:ind w:left="420"/>
      </w:pPr>
      <w:r>
        <w:t xml:space="preserve">3. auf Anfechtungsklage durch Urteil rechtskräftig für nichtig erklärt worden ist.</w:t>
      </w:r>
    </w:p>
    <w:p>
      <w:r>
        <w:t xml:space="preserve">(4) Wegen Verstoßes gegen die Vorschriften über die Gliederung des Jahresabschlusses sowie wegen der Nichtbeachtung von Formblättern, nach denen der Jahresabschluß zu gliedern ist, ist der Jahresabschluß nur nichtig, wenn seine Klarheit und Übersichtlichkeit dadurch wesentlich beeinträchtigt sind.</w:t>
      </w:r>
    </w:p>
    <w:p>
      <w:r>
        <w:t xml:space="preserve">(5) Wegen Verstoßes gegen die Bewertungsvorschriften ist der Jahresabschluß nur nichtig, wenn</w:t>
      </w:r>
    </w:p>
    <w:p>
      <w:pPr>
        <w:ind w:left="420"/>
      </w:pPr>
      <w:r>
        <w:t xml:space="preserve">1. Posten überbewertet oder</w:t>
      </w:r>
    </w:p>
    <w:p>
      <w:pPr>
        <w:ind w:left="420"/>
      </w:pPr>
      <w:r>
        <w:t xml:space="preserve">2. Posten unterbewertet sind und dadurch die Vermögens- und Ertragslage der Gesellschaft vorsätzlich unrichtig wiedergegeben oder verschleiert wird.</w:t>
      </w:r>
    </w:p>
    <w:p>
      <w:r>
        <w:t xml:space="preserve">Überbewertet sind Aktivposten, wenn sie mit einem höheren Wert, Passivposten, wenn sie mit einem niedrigeren Betrag angesetzt sind, als nach §§ 253 bis 256a des Handelsgesetzbuchs zulässig ist. Unterbewertet sind Aktivposten, wenn sie mit einem niedrigeren Wert, Passivposten, wenn sie mit einem höheren Betrag angesetzt sind, als nach §§ 253 bis 256a des Handelsgesetzbuchs zulässig ist. Bei Kreditinstituten, Finanzdienstleistungsinstituten oder bei Wertpapierinstituten sowie bei Kapitalverwaltungsgesellschaften im Sinn des § 17 des Kapitalanlagegesetzbuchs liegt ein Verstoß gegen die Bewertungsvorschriften nicht vor, soweit die Abweichung nach den für sie geltenden Vorschriften, insbesondere den §§ 340e bis 340g des Handelsgesetzbuchs, zulässig ist; dies gilt entsprechend für Versicherungsunternehmen nach Maßgabe der für sie geltenden Vorschriften, insbesondere der §§ 341b bis 341h des Handelsgesetzbuchs.</w:t>
      </w:r>
    </w:p>
    <w:p>
      <w:r>
        <w:t xml:space="preserve">(6) Die Nichtigkeit nach Absatz 1 Nr. 1, 3 und 4, Absatz 2, Absatz 3 Nr. 1 und 2, Absatz 4 und 5 kann nicht mehr geltend gemacht werden, wenn seit der Einstellung des Jahresabschlusses in das Unternehmensregister in den Fällen des Absatzes 1 Nr. 3 und 4, des Absatzes 2 und des Absatzes 3 Nr. 1 und 2 sechs Monate, in den anderen Fällen drei Jahre verstrichen sind. Ist bei Ablauf der Frist eine Klage auf Feststellung der Nichtigkeit des Jahresabschlusses rechtshängig, so verlängert sich die Frist, bis über die Klage rechtskräftig entschieden ist oder sie sich auf andere Weise endgültig erledigt hat.</w:t>
      </w:r>
    </w:p>
    <w:p>
      <w:r>
        <w:t xml:space="preserve">(7) Für die Klage auf Feststellung der Nichtigkeit gegen die Gesellschaft gilt § 249 sinngemäß. Ist für die Gesellschaft als Emittentin von zugelassenen Wertpapieren im Sinne des § 2 Absatz 1 des Wertpapierhandelsgesetzes mit Ausnahme von Anteilen und Aktien an offenen Investmentvermögen im Sinne des § 1 Absatz 4 des Kapitalanlagegesetzbuchs die Bundesrepublik Deutschland der Herkunftsstaat (§ 2 Absatz 13 des Wertpapierhandelsgesetzes), so hat das Gericht der Bundesanstalt für Finanzdienstleistungsaufsicht den Eingang einer Klage auf Feststellung der Nichtigkeit sowie jede rechtskräftige Entscheidung über diese Klage mitzuteilen.</w:t>
      </w:r>
    </w:p>
    <w:p>
      <w:r>
        <w:rPr>
          <w:color w:val="555555"/>
          <w:sz w:val="17"/>
        </w:rPr>
        <w:t xml:space="preserve">Zitiervorschlag: § 256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