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243 AktG — Anfechtungsgründe</w:t>
      </w:r>
    </w:p>
    <w:p>
      <w:r>
        <w:rPr>
          <w:color w:val="555555"/>
          <w:sz w:val="18"/>
        </w:rPr>
        <w:t xml:space="preserve">Aktiengesetz</w:t>
      </w:r>
    </w:p>
    <w:p>
      <w:r>
        <w:rPr>
          <w:color w:val="555555"/>
          <w:sz w:val="18"/>
        </w:rPr>
        <w:t xml:space="preserve">Stand: 28.07.2022 (konsolidierte Textfassung, kein amtliches Inkrafttretensdatum)</w:t>
      </w:r>
    </w:p>
    <w:p>
      <w:r>
        <w:t xml:space="preserve">(1) Ein Beschluß der Hauptversammlung kann wegen Verletzung des Gesetzes oder der Satzung durch Klage angefochten werden.</w:t>
      </w:r>
    </w:p>
    <w:p>
      <w:r>
        <w:t xml:space="preserve">(2) Die Anfechtung kann auch darauf gestützt werden, daß ein Aktionär mit der Ausübung des Stimmrechts für sich oder einen Dritten Sondervorteile zum Schaden der Gesellschaft oder der anderen Aktionäre zu erlangen suchte und der Beschluß geeignet ist, diesem Zweck zu dienen. Dies gilt nicht, wenn der Beschluß den anderen Aktionären einen angemessenen Ausgleich für ihren Schaden gewährt.</w:t>
      </w:r>
    </w:p>
    <w:p>
      <w:r>
        <w:t xml:space="preserve">(3) Die Anfechtung kann nicht gestützt werden</w:t>
      </w:r>
    </w:p>
    <w:p>
      <w:pPr>
        <w:ind w:left="420"/>
      </w:pPr>
      <w:r>
        <w:t xml:space="preserve">1. auf die durch eine technische Störung verursachte Verletzung von Rechten, die nach § 118 Absatz 1 Satz 2 und Absatz 2 Satz 1 sowie § 134 Absatz 3 auf elektronischem Wege wahrgenommen worden sind,</w:t>
      </w:r>
    </w:p>
    <w:p>
      <w:pPr>
        <w:ind w:left="420"/>
      </w:pPr>
      <w:r>
        <w:t xml:space="preserve">2. auf die durch eine technische Störung verursachte Verletzung von Rechten, die nach § 118a Absatz 1 Satz 2 Nummer 2, 3, 4 in Verbindung mit § 131, nach § 118a Absatz 1 Satz 2 Nummer 6 in Verbindung mit § 130a Absatz 1 bis 4, nach § 118a Absatz 1 Satz 2 Nummer 7 in Verbindung mit § 130a Absatz 5 und 6 sowie nach § 118a Absatz 1 Satz 2 Nummer 8 auf elektronischem Wege wahrgenommen worden sind,</w:t>
      </w:r>
    </w:p>
    <w:p>
      <w:pPr>
        <w:ind w:left="420"/>
      </w:pPr>
      <w:r>
        <w:t xml:space="preserve">3. auf die durch eine technische Störung verursachte Verletzung von § 118a Absatz 1 Satz 2 Nummer 1 und 5 sowie Absatz 6,</w:t>
      </w:r>
    </w:p>
    <w:p>
      <w:pPr>
        <w:ind w:left="420"/>
      </w:pPr>
      <w:r>
        <w:t xml:space="preserve">4. auf eine Verletzung der §§ 67a, 67b, 118 Absatz 1 Satz 3 bis 5 und Absatz 2 Satz 2, von § 118a Absatz 1 Satz 4, § 121 Absatz 4a oder des § 124a,</w:t>
      </w:r>
    </w:p>
    <w:p>
      <w:pPr>
        <w:ind w:left="420"/>
      </w:pPr>
      <w:r>
        <w:t xml:space="preserve">5. auf Gründe, die ein Verfahren nach § 318 Absatz 3 des Handelsgesetzbuchs rechtfertigen.</w:t>
      </w:r>
    </w:p>
    <w:p>
      <w:r>
        <w:t xml:space="preserve">Eine Anfechtung kann auf die durch eine technische Störung verursachte Verletzung von Rechten aus Satz 1 Nummer 1 und 2 sowie Vorschriften aus Satz 1 Nummer 3 nur gestützt werden, wenn der Gesellschaft grobe Fahrlässigkeit oder Vorsatz vorzuwerfen ist; in der Satzung kann ein strengerer Verschuldensmaßstab bestimmt werden.</w:t>
      </w:r>
    </w:p>
    <w:p>
      <w:r>
        <w:t xml:space="preserve">(4) Wegen unrichtiger, unvollständiger oder verweigerter Erteilung von Informationen kann nur angefochten werden, wenn ein objektiv urteilender Aktionär die Erteilung der Information als wesentliche Voraussetzung für die sachgerechte Wahrnehmung seiner Teilnahme- und Mitgliedschaftsrechte angesehen hätte. Auf unrichtige, unvollständige oder unzureichende Informationen in der Hauptversammlung über die Ermittlung, Höhe oder Angemessenheit von Ausgleich, Abfindung, Zuzahlung oder über sonstige Kompensationen kann eine Anfechtungsklage nicht gestützt werden, wenn das Gesetz für Bewertungsrügen ein Spruchverfahren vorsieht.</w:t>
      </w:r>
    </w:p>
    <w:p>
      <w:r>
        <w:rPr>
          <w:color w:val="555555"/>
          <w:sz w:val="17"/>
        </w:rPr>
        <w:t xml:space="preserve">Zitiervorschlag: § 243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