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239 AktG — Anmeldung der Durchführung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hat die Durchführung der Herabsetzung des Grundkapitals zur Eintragung in das Handelsregister anzumelden. Dies gilt auch dann, wenn es sich um eine durch die Satzung angeordnete Zwangseinziehung handelt.</w:t>
      </w:r>
    </w:p>
    <w:p>
      <w:r>
        <w:t xml:space="preserve">(2) Anmeldung und Eintragung der Durchführung der Herabsetzung können mit Anmeldung und Eintragung des Beschlusses über die Herabsetzung verbunden werden.</w:t>
      </w:r>
    </w:p>
    <w:p>
      <w:r>
        <w:rPr>
          <w:color w:val="555555"/>
          <w:sz w:val="17"/>
        </w:rPr>
        <w:t xml:space="preserve">Zitiervorschlag: § 239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