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237 AktG — Voraussetzungen</w:t>
      </w:r>
    </w:p>
    <w:p>
      <w:r>
        <w:rPr>
          <w:color w:val="555555"/>
          <w:sz w:val="18"/>
        </w:rPr>
        <w:t xml:space="preserve">Aktiengesetz</w:t>
      </w:r>
    </w:p>
    <w:p>
      <w:r>
        <w:rPr>
          <w:color w:val="555555"/>
          <w:sz w:val="18"/>
        </w:rPr>
        <w:t xml:space="preserve">Stand: 10.06.2019 (konsolidierte Textfassung, kein amtliches Inkrafttretensdatum)</w:t>
      </w:r>
    </w:p>
    <w:p>
      <w:r>
        <w:t xml:space="preserve">(1) Aktien können zwangsweise oder nach Erwerb durch die Gesellschaft eingezogen werden. Eine Zwangseinziehung ist nur zulässig, wenn sie in der ursprünglichen Satzung oder durch eine Satzungsänderung vor Übernahme oder Zeichnung der Aktien angeordnet oder gestattet war.</w:t>
      </w:r>
    </w:p>
    <w:p>
      <w:r>
        <w:t xml:space="preserve">(2) Bei der Einziehung sind die Vorschriften über die ordentliche Kapitalherabsetzung zu befolgen. In der Satzung oder in dem Beschluß der Hauptversammlung sind die Voraussetzungen für eine Zwangseinziehung und die Einzelheiten ihrer Durchführung festzulegen. Für die Zahlung des Entgelts, das Aktionären bei einer Zwangseinziehung oder bei einem Erwerb von Aktien zum Zwecke der Einziehung gewährt wird, und für die Befreiung dieser Aktionäre von der Verpflichtung zur Leistung von Einlagen gilt § 225 Abs. 2 sinngemäß.</w:t>
      </w:r>
    </w:p>
    <w:p>
      <w:r>
        <w:t xml:space="preserve">(3) Die Vorschriften über die ordentliche Kapitalherabsetzung brauchen nicht befolgt zu werden, wenn Aktien, auf die der Ausgabebetrag voll geleistet ist,</w:t>
      </w:r>
    </w:p>
    <w:p>
      <w:pPr>
        <w:ind w:left="420"/>
      </w:pPr>
      <w:r>
        <w:t xml:space="preserve">1. der Gesellschaft unentgeltlich zur Verfügung gestellt oder</w:t>
      </w:r>
    </w:p>
    <w:p>
      <w:pPr>
        <w:ind w:left="420"/>
      </w:pPr>
      <w:r>
        <w:t xml:space="preserve">2. zu Lasten des Bilanzgewinns oder einer frei verfügbaren Rücklage, soweit sie zu diesem Zweck verwandt werden können, eingezogen werden oder</w:t>
      </w:r>
    </w:p>
    <w:p>
      <w:pPr>
        <w:ind w:left="420"/>
      </w:pPr>
      <w:r>
        <w:t xml:space="preserve">3. Stückaktien sind und der Beschluss der Hauptversammlung bestimmt, dass sich durch die Einziehung der Anteil der übrigen Aktien am Grundkapital gemäß § 8 Abs. 3 erhöht; wird der Vorstand zur Einziehung ermächtigt, so kann er auch zur Anpassung der Angabe der Zahl in der Satzung ermächtigt werden.</w:t>
      </w:r>
    </w:p>
    <w:p>
      <w:r>
        <w:t xml:space="preserve">(4) Auch in den Fällen des Absatzes 3 kann die Kapitalherabsetzung durch Einziehung nur von der Hauptversammlung beschlossen werden. Für den Beschluß genügt die einfache Stimmenmehrheit. Die Satzung kann eine größere Mehrheit und weitere Erfordernisse bestimmen. Im Beschluß ist der Zweck der Kapitalherabsetzung festzusetzen. Der Vorstand und der Vorsitzende des Aufsichtsrats haben den Beschluß zur Eintragung in das Handelsregister anzumelden.</w:t>
      </w:r>
    </w:p>
    <w:p>
      <w:r>
        <w:t xml:space="preserve">(5) In den Fällen des Absatzes 3 Nr. 1 und 2 ist in die Kapitalrücklage ein Betrag einzustellen, der dem auf die eingezogenen Aktien entfallenden Betrag des Grundkapitals gleichkommt.</w:t>
      </w:r>
    </w:p>
    <w:p>
      <w:r>
        <w:t xml:space="preserve">(6) Soweit es sich um eine durch die Satzung angeordnete Zwangseinziehung handelt, bedarf es eines Beschlusses der Hauptversammlung nicht. In diesem Fall tritt für die Anwendung der Vorschriften über die ordentliche Kapitalherabsetzung an die Stelle des Hauptversammlungsbeschlusses die Entscheidung des Vorstands über die Einziehung.</w:t>
      </w:r>
    </w:p>
    <w:p>
      <w:r>
        <w:rPr>
          <w:color w:val="555555"/>
          <w:sz w:val="17"/>
        </w:rPr>
        <w:t xml:space="preserve">Zitiervorschlag: § 237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