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235 AktG — Rückwirkung einer gleichzeitigen Kapitalerhöhung</w:t>
      </w:r>
    </w:p>
    <w:p>
      <w:r>
        <w:rPr>
          <w:color w:val="555555"/>
          <w:sz w:val="18"/>
        </w:rPr>
        <w:t xml:space="preserve">Aktiengesetz</w:t>
      </w:r>
    </w:p>
    <w:p>
      <w:r>
        <w:rPr>
          <w:color w:val="555555"/>
          <w:sz w:val="18"/>
        </w:rPr>
        <w:t xml:space="preserve">Stand: 10.06.2019 (konsolidierte Textfassung, kein amtliches Inkrafttretensdatum)</w:t>
      </w:r>
    </w:p>
    <w:p>
      <w:r>
        <w:t xml:space="preserve">(1) Wird im Fall des § 234 zugleich mit der Kapitalherabsetzung eine Erhöhung des Grundkapitals beschlossen, so kann auch die Kapitalerhöhung in dem Jahresabschluß als vollzogen berücksichtigt werden. Die Beschlußfassung ist nur zulässig, wenn die neuen Aktien gezeichnet, keine Sacheinlagen festgesetzt sind und wenn auf jede Aktie die Einzahlung geleistet ist, die nach § 188 Abs. 2 zur Zeit der Anmeldung der Durchführung der Kapitalerhöhung bewirkt sein muß. Die Zeichnung und die Einzahlung sind dem Notar nachzuweisen, der den Beschluß über die Erhöhung des Grundkapitals beurkundet.</w:t>
      </w:r>
    </w:p>
    <w:p>
      <w:r>
        <w:t xml:space="preserve">(2) Sämtliche Beschlüsse sind nichtig, wenn die Beschlüsse über die Kapitalherabsetzung und die Kapitalerhöhung und die Durchführung der Erhöhung nicht binnen drei Monaten nach der Beschlußfassung in das Handelsregister eingetragen worden sind. Der Lauf der Frist ist gehemmt, solange eine Anfechtungs- oder Nichtigkeitsklage rechtshängig ist. Die Beschlüsse und die Durchführung der Erhöhung des Grundkapitals sollen nur zusammen in das Handelsregister eingetragen werden.</w:t>
      </w:r>
    </w:p>
    <w:p>
      <w:r>
        <w:rPr>
          <w:color w:val="555555"/>
          <w:sz w:val="17"/>
        </w:rPr>
        <w:t xml:space="preserve">Zitiervorschlag: § 235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