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234 AktG — Rückwirkung der Kapitalherabsetzung</w:t>
      </w:r>
    </w:p>
    <w:p>
      <w:r>
        <w:rPr>
          <w:color w:val="555555"/>
          <w:sz w:val="18"/>
        </w:rPr>
        <w:t xml:space="preserve">Aktiengesetz</w:t>
      </w:r>
    </w:p>
    <w:p>
      <w:r>
        <w:rPr>
          <w:color w:val="555555"/>
          <w:sz w:val="18"/>
        </w:rPr>
        <w:t xml:space="preserve">Stand: 10.06.2019 (konsolidierte Textfassung, kein amtliches Inkrafttretensdatum)</w:t>
      </w:r>
    </w:p>
    <w:p>
      <w:r>
        <w:t xml:space="preserve">(1) Im Jahresabschluß für das letzte vor der Beschlußfassung über die Kapitalherabsetzung abgelaufene Geschäftsjahr können das gezeichnete Kapital sowie die Kapital- und Gewinnrücklagen in der Höhe ausgewiesen werden, in der sie nach der Kapitalherabsetzung bestehen sollen.</w:t>
      </w:r>
    </w:p>
    <w:p>
      <w:r>
        <w:t xml:space="preserve">(2) In diesem Fall beschließt die Hauptversammlung über die Feststellung des Jahresabschlusses. Der Beschluß soll zugleich mit dem Beschluß über die Kapitalherabsetzung gefaßt werden.</w:t>
      </w:r>
    </w:p>
    <w:p>
      <w:r>
        <w:t xml:space="preserve">(3) Die Beschlüsse sind nichtig, wenn der Beschluß über die Kapitalherabsetzung nicht binnen drei Monaten nach der Beschlußfassung in das Handelsregister eingetragen worden ist. Der Lauf der Frist ist gehemmt, solange eine Anfechtungs- oder Nichtigkeitsklage rechtshängig ist.</w:t>
      </w:r>
    </w:p>
    <w:p>
      <w:r>
        <w:rPr>
          <w:color w:val="555555"/>
          <w:sz w:val="17"/>
        </w:rPr>
        <w:t xml:space="preserve">Zitiervorschlag: § 234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https://recht.nulegal.eu/gesetze/AktG/234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