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231 AktG — Beschränkte Einstellung in die Kapitalrücklage und in die gesetzliche Rücklage</w:t>
      </w:r>
    </w:p>
    <w:p>
      <w:r>
        <w:rPr>
          <w:color w:val="555555"/>
          <w:sz w:val="18"/>
        </w:rPr>
        <w:t xml:space="preserve">Aktiengesetz</w:t>
      </w:r>
    </w:p>
    <w:p>
      <w:r>
        <w:rPr>
          <w:color w:val="555555"/>
          <w:sz w:val="18"/>
        </w:rPr>
        <w:t xml:space="preserve">Stand: 10.06.2019 (konsolidierte Textfassung, kein amtliches Inkrafttretensdatum)</w:t>
      </w:r>
    </w:p>
    <w:p>
      <w:r>
        <w:t xml:space="preserve">Die Einstellung der Beträge, die aus der Auflösung von anderen Gewinnrücklagen gewonnen werden, in die gesetzliche Rücklage und der Beträge, die aus der Kapitalherabsetzung gewonnen werden, in die Kapitalrücklage ist nur zulässig, soweit die Kapitalrücklage und die gesetzliche Rücklage zusammen zehn vom Hundert des Grundkapitals nicht übersteigen. Als Grundkapital gilt dabei der Nennbetrag, der sich durch die Herabsetzung ergibt, mindestens aber der in § 7 bestimmte Mindestnennbetrag. Bei der Bemessung der zulässigen Höhe bleiben Beträge, die in der Zeit nach der Beschlußfassung über die Kapitalherabsetzung in die Kapitalrücklage einzustellen sind, auch dann außer Betracht, wenn ihre Zahlung auf einem Beschluß beruht, der zugleich mit dem Beschluß über die Kapitalherabsetzung gefaßt wird.</w:t>
      </w:r>
    </w:p>
    <w:p>
      <w:r>
        <w:rPr>
          <w:color w:val="555555"/>
          <w:sz w:val="17"/>
        </w:rPr>
        <w:t xml:space="preserve">Zitiervorschlag: § 231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