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AktG — Feststellung der Satzung</w:t>
      </w:r>
    </w:p>
    <w:p>
      <w:r>
        <w:rPr>
          <w:color w:val="555555"/>
          <w:sz w:val="18"/>
        </w:rPr>
        <w:t xml:space="preserve">Aktiengesetz</w:t>
      </w:r>
    </w:p>
    <w:p>
      <w:r>
        <w:rPr>
          <w:color w:val="555555"/>
          <w:sz w:val="18"/>
        </w:rPr>
        <w:t xml:space="preserve">Stand: 10.06.2019 (konsolidierte Textfassung, kein amtliches Inkrafttretensdatum)</w:t>
      </w:r>
    </w:p>
    <w:p>
      <w:r>
        <w:t xml:space="preserve">(1) Die Satzung muß durch notarielle Beurkundung festgestellt werden. Bevollmächtigte bedürfen einer notariell beglaubigten Vollmacht.</w:t>
      </w:r>
    </w:p>
    <w:p>
      <w:r>
        <w:t xml:space="preserve">(2) In der Urkunde sind anzugeben</w:t>
      </w:r>
    </w:p>
    <w:p>
      <w:pPr>
        <w:ind w:left="420"/>
      </w:pPr>
      <w:r>
        <w:t xml:space="preserve">1. die Gründer;</w:t>
      </w:r>
    </w:p>
    <w:p>
      <w:pPr>
        <w:ind w:left="420"/>
      </w:pPr>
      <w:r>
        <w:t xml:space="preserve">2. bei Nennbetragsaktien der Nennbetrag, bei Stückaktien die Zahl, der Ausgabebetrag und, wenn mehrere Gattungen bestehen, die Gattung der Aktien, die jeder Gründer übernimmt;</w:t>
      </w:r>
    </w:p>
    <w:p>
      <w:pPr>
        <w:ind w:left="420"/>
      </w:pPr>
      <w:r>
        <w:t xml:space="preserve">3. der eingezahlte Betrag des Grundkapitals.</w:t>
      </w:r>
    </w:p>
    <w:p>
      <w:r>
        <w:t xml:space="preserve">(3) Die Satzung muß bestimmen</w:t>
      </w:r>
    </w:p>
    <w:p>
      <w:pPr>
        <w:ind w:left="420"/>
      </w:pPr>
      <w:r>
        <w:t xml:space="preserve">1. die Firma und den Sitz der Gesellschaft;</w:t>
      </w:r>
    </w:p>
    <w:p>
      <w:pPr>
        <w:ind w:left="420"/>
      </w:pPr>
      <w:r>
        <w:t xml:space="preserve">2. den Gegenstand des Unternehmens; namentlich ist bei Industrie- und Handelsunternehmen die Art der Erzeugnisse und Waren, die hergestellt und gehandelt werden sollen, näher anzugeben;</w:t>
      </w:r>
    </w:p>
    <w:p>
      <w:pPr>
        <w:ind w:left="420"/>
      </w:pPr>
      <w:r>
        <w:t xml:space="preserve">3. die Höhe des Grundkapitals;</w:t>
      </w:r>
    </w:p>
    <w:p>
      <w:pPr>
        <w:ind w:left="420"/>
      </w:pPr>
      <w:r>
        <w:t xml:space="preserve">4. die Zerlegung des Grundkapitals entweder in Nennbetragsaktien oder in Stückaktien, bei Nennbetragsaktien deren Nennbeträge und die Zahl der Aktien jeden Nennbetrags, bei Stückaktien deren Zahl, außerdem, wenn mehrere Gattungen bestehen, die Gattung der Aktien und die Zahl der Aktien jeder Gattung;</w:t>
      </w:r>
    </w:p>
    <w:p>
      <w:pPr>
        <w:ind w:left="420"/>
      </w:pPr>
      <w:r>
        <w:t xml:space="preserve">5. ob die Aktien auf den Inhaber oder auf den Namen ausgestellt werden;</w:t>
      </w:r>
    </w:p>
    <w:p>
      <w:pPr>
        <w:ind w:left="420"/>
      </w:pPr>
      <w:r>
        <w:t xml:space="preserve">6. die Zahl der Mitglieder des Vorstands oder die Regeln, nach denen diese Zahl festgelegt wird.</w:t>
      </w:r>
    </w:p>
    <w:p>
      <w:r>
        <w:t xml:space="preserve">(4) Die Satzung muß ferner Bestimmungen über die Form der Bekanntmachungen der Gesellschaft enthalten.</w:t>
      </w:r>
    </w:p>
    <w:p>
      <w:r>
        <w:t xml:space="preserve">(5) Die Satzung kann von den Vorschriften dieses Gesetzes nur abweichen, wenn es ausdrücklich zugelassen ist. Ergänzende Bestimmungen der Satzung sind zulässig, es sei denn, daß dieses Gesetz eine abschließende Regelung enthält.</w:t>
      </w:r>
    </w:p>
    <w:p>
      <w:r>
        <w:rPr>
          <w:color w:val="555555"/>
          <w:sz w:val="17"/>
        </w:rPr>
        <w:t xml:space="preserve">Zitiervorschlag: § 23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https://recht.nulegal.eu/gesetze/AktG/23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