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228 AktG — Herabsetzung unter den Mindestnennbetrag</w:t>
      </w:r>
    </w:p>
    <w:p>
      <w:r>
        <w:rPr>
          <w:color w:val="555555"/>
          <w:sz w:val="18"/>
        </w:rPr>
        <w:t xml:space="preserve">Aktiengesetz</w:t>
      </w:r>
    </w:p>
    <w:p>
      <w:r>
        <w:rPr>
          <w:color w:val="555555"/>
          <w:sz w:val="18"/>
        </w:rPr>
        <w:t xml:space="preserve">Stand: 10.06.2019 (konsolidierte Textfassung, kein amtliches Inkrafttretensdatum)</w:t>
      </w:r>
    </w:p>
    <w:p>
      <w:r>
        <w:t xml:space="preserve">(1) Das Grundkapital kann unter den in § 7 bestimmten Mindestnennbetrag herabgesetzt werden, wenn dieser durch eine Kapitalerhöhung wieder erreicht wird, die zugleich mit der Kapitalherabsetzung beschlossen ist und bei der Sacheinlagen nicht festgesetzt sind.</w:t>
      </w:r>
    </w:p>
    <w:p>
      <w:r>
        <w:t xml:space="preserve">(2) Die Beschlüsse sind nichtig, wenn sie und die Durchführung der Erhöhung nicht binnen sechs Monaten nach der Beschlußfassung in das Handelsregister eingetragen worden sind. Der Lauf der Frist ist gehemmt, solange eine Anfechtungs- oder Nichtigkeitsklage rechtshängig ist. Die Beschlüsse und die Durchführung der Erhöhung des Grundkapitals sollen nur zusammen in das Handelsregister eingetragen werden.</w:t>
      </w:r>
    </w:p>
    <w:p>
      <w:r>
        <w:rPr>
          <w:color w:val="555555"/>
          <w:sz w:val="17"/>
        </w:rPr>
        <w:t xml:space="preserve">Zitiervorschlag: § 228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