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224 AktG — Wirksamwerden der Kapitalherabsetzung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Eintragung des Beschlusses über die Herabsetzung des Grundkapitals ist das Grundkapital herabgesetzt.</w:t>
      </w:r>
    </w:p>
    <w:p>
      <w:r>
        <w:rPr>
          <w:color w:val="555555"/>
          <w:sz w:val="17"/>
        </w:rPr>
        <w:t xml:space="preserve">Zitiervorschlag: § 224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