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223 AktG — Anmeldung des Beschlusses</w:t>
      </w:r>
    </w:p>
    <w:p>
      <w:r>
        <w:rPr>
          <w:color w:val="555555"/>
          <w:sz w:val="18"/>
        </w:rPr>
        <w:t xml:space="preserve">Aktiengesetz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Vorstand und der Vorsitzende des Aufsichtsrats haben den Beschluß über die Herabsetzung des Grundkapitals zur Eintragung in das Handelsregister anzumelden.</w:t>
      </w:r>
    </w:p>
    <w:p>
      <w:r>
        <w:rPr>
          <w:color w:val="555555"/>
          <w:sz w:val="17"/>
        </w:rPr>
        <w:t xml:space="preserve">Zitiervorschlag: § 223 AktG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https://recht.nulegal.eu/gesetze/AktG/223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