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218 AktG — Bedingtes Kapital</w:t>
      </w:r>
    </w:p>
    <w:p>
      <w:r>
        <w:rPr>
          <w:color w:val="555555"/>
          <w:sz w:val="18"/>
        </w:rPr>
        <w:t xml:space="preserve">Aktiengesetz</w:t>
      </w:r>
    </w:p>
    <w:p>
      <w:r>
        <w:rPr>
          <w:color w:val="555555"/>
          <w:sz w:val="18"/>
        </w:rPr>
        <w:t xml:space="preserve">Stand: 10.06.2019 (konsolidierte Textfassung, kein amtliches Inkrafttretensdatum)</w:t>
      </w:r>
    </w:p>
    <w:p>
      <w:r>
        <w:t xml:space="preserve">Bedingtes Kapital erhöht sich im gleichen Verhältnis wie das Grundkapital. Ist das bedingte Kapital zur Gewährung von Umtauschrechten an Gläubiger von Wandelschuldverschreibungen beschlossen worden, so ist zur Deckung des Unterschieds zwischen dem Ausgabebetrag der Schuldverschreibungen und dem höheren geringsten Ausgabebetrag der für sie zu gewährenden Bezugsaktien insgesamt eine Sonderrücklage zu bilden, soweit nicht Zuzahlungen der Umtauschberechtigten vereinbart sind.</w:t>
      </w:r>
    </w:p>
    <w:p>
      <w:r>
        <w:rPr>
          <w:color w:val="555555"/>
          <w:sz w:val="17"/>
        </w:rPr>
        <w:t xml:space="preserve">Zitiervorschlag: § 218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