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 AktG — Wahrung der Rechte der Aktionäre und Dritter</w:t>
      </w:r>
    </w:p>
    <w:p>
      <w:r>
        <w:rPr>
          <w:color w:val="555555"/>
          <w:sz w:val="18"/>
        </w:rPr>
        <w:t xml:space="preserve">Aktiengesetz</w:t>
      </w:r>
    </w:p>
    <w:p>
      <w:r>
        <w:rPr>
          <w:color w:val="555555"/>
          <w:sz w:val="18"/>
        </w:rPr>
        <w:t xml:space="preserve">Stand: 10.06.2019 (konsolidierte Textfassung, kein amtliches Inkrafttretensdatum)</w:t>
      </w:r>
    </w:p>
    <w:p>
      <w:r>
        <w:t xml:space="preserve">(1) Das Verhältnis der mit den Aktien verbundenen Rechte zueinander wird durch die Kapitalerhöhung nicht berührt.</w:t>
      </w:r>
    </w:p>
    <w:p>
      <w:r>
        <w:t xml:space="preserve">(2) Soweit sich einzelne Rechte teileingezahlter Aktien, insbesondere die Beteiligung am Gewinn oder das Stimmrecht, nach der auf die Aktie geleisteten Einlage bestimmen, stehen diese Rechte den Aktionären bis zur Leistung der noch ausstehenden Einlagen nur nach der Höhe der geleisteten Einlage, erhöht um den auf den Nennbetrag des Grundkapitals berechneten Hundertsatz der Erhöhung des Grundkapitals zu. Werden weitere Einzahlungen geleistet, so erweitern sich diese Rechte entsprechend. Im Fall des § 271 Abs. 3 gelten die Erhöhungsbeträge als voll eingezahlt.</w:t>
      </w:r>
    </w:p>
    <w:p>
      <w:r>
        <w:t xml:space="preserve">(3) Der wirtschaftliche Inhalt vertraglicher Beziehungen der Gesellschaft zu Dritten, die von der Gewinnausschüttung der Gesellschaft, dem Nennbetrag oder Wert ihrer Aktien oder ihres Grundkapitals oder sonst von den bisherigen Kapital- oder Gewinnverhältnissen abhängen, wird durch die Kapitalerhöhung nicht berührt. Gleiches gilt für Nebenverpflichtungen der Aktionäre.</w:t>
      </w:r>
    </w:p>
    <w:p>
      <w:r>
        <w:rPr>
          <w:color w:val="555555"/>
          <w:sz w:val="17"/>
        </w:rPr>
        <w:t xml:space="preserve">Zitiervorschlag: § 216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