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215 AktG — Eigene Aktien. Teileingezahlte Aktien</w:t>
      </w:r>
    </w:p>
    <w:p>
      <w:r>
        <w:rPr>
          <w:color w:val="555555"/>
          <w:sz w:val="18"/>
        </w:rPr>
        <w:t xml:space="preserve">Aktiengesetz</w:t>
      </w:r>
    </w:p>
    <w:p>
      <w:r>
        <w:rPr>
          <w:color w:val="555555"/>
          <w:sz w:val="18"/>
        </w:rPr>
        <w:t xml:space="preserve">Stand: 10.06.2019 (konsolidierte Textfassung, kein amtliches Inkrafttretensdatum)</w:t>
      </w:r>
    </w:p>
    <w:p>
      <w:r>
        <w:t xml:space="preserve">(1) Eigene Aktien nehmen an der Erhöhung des Grundkapitals teil.</w:t>
      </w:r>
    </w:p>
    <w:p>
      <w:r>
        <w:t xml:space="preserve">(2) Teileingezahlte Aktien nehmen entsprechend ihrem Anteil am Grundkapital an der Erhöhung des Grundkapitals teil. Bei ihnen kann die Kapitalerhöhung nicht durch Ausgabe neuer Aktien ausgeführt werden, bei Nennbetragsaktien wird deren Nennbetrag erhöht. Sind neben teileingezahlten Aktien volleingezahlte Aktien vorhanden, so kann bei volleingezahlten Nennbetragsaktien die Kapitalerhöhung durch Erhöhung des Nennbetrags der Aktien und durch Ausgabe neuer Aktien ausgeführt werden; der Beschluß über die Erhöhung des Grundkapitals muß die Art der Erhöhung angeben. Soweit die Kapitalerhöhung durch Erhöhung des Nennbetrags der Aktien ausgeführt wird, ist sie so zu bemessen, daß durch sie auf keine Aktie Beträge entfallen, die durch eine Erhöhung des Nennbetrags der Aktien nicht gedeckt werden können.</w:t>
      </w:r>
    </w:p>
    <w:p>
      <w:r>
        <w:rPr>
          <w:color w:val="555555"/>
          <w:sz w:val="17"/>
        </w:rPr>
        <w:t xml:space="preserve">Zitiervorschlag: § 215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